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FD" w:rsidRDefault="005B34FD">
      <w:pPr>
        <w:jc w:val="center"/>
      </w:pPr>
    </w:p>
    <w:p w:rsidR="005B34FD" w:rsidRDefault="005B34FD"/>
    <w:p w:rsidR="005B34FD" w:rsidRDefault="005B34FD"/>
    <w:p w:rsidR="005B34FD" w:rsidRDefault="005B34FD"/>
    <w:p w:rsidR="005B34FD" w:rsidRDefault="005B34FD"/>
    <w:p w:rsidR="005B34FD" w:rsidRDefault="005B34FD"/>
    <w:p w:rsidR="00686B0F" w:rsidRDefault="00686B0F">
      <w:pPr>
        <w:rPr>
          <w:rFonts w:ascii="LinBiolinumO-Identity-H" w:hAnsi="LinBiolinumO-Identity-H" w:hint="eastAsia"/>
          <w:b/>
          <w:color w:val="808080"/>
          <w:sz w:val="18"/>
        </w:rPr>
      </w:pPr>
      <w:r>
        <w:rPr>
          <w:rFonts w:ascii="LinBiolinumO-Identity-H" w:hAnsi="LinBiolinumO-Identity-H"/>
          <w:b/>
          <w:color w:val="808080"/>
          <w:sz w:val="18"/>
        </w:rPr>
        <w:t xml:space="preserve">    </w:t>
      </w:r>
    </w:p>
    <w:p w:rsidR="005B34FD" w:rsidRPr="00034403" w:rsidRDefault="00686B0F">
      <w:pPr>
        <w:rPr>
          <w:sz w:val="22"/>
          <w:szCs w:val="22"/>
        </w:rPr>
      </w:pPr>
      <w:r w:rsidRPr="00034403">
        <w:rPr>
          <w:rFonts w:ascii="LinBiolinumO-Identity-H" w:hAnsi="LinBiolinumO-Identity-H"/>
          <w:b/>
          <w:color w:val="808080"/>
          <w:sz w:val="22"/>
          <w:szCs w:val="22"/>
        </w:rPr>
        <w:t xml:space="preserve">        </w:t>
      </w:r>
      <w:r w:rsidRPr="00034403">
        <w:rPr>
          <w:rFonts w:ascii="LinBiolinumOB-Identity-H" w:hAnsi="LinBiolinumOB-Identity-H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034403">
        <w:rPr>
          <w:rFonts w:ascii="LinBiolinumOB-Identity-H" w:hAnsi="LinBiolinumOB-Identity-H"/>
          <w:b/>
          <w:sz w:val="22"/>
          <w:szCs w:val="22"/>
        </w:rPr>
        <w:t xml:space="preserve">          </w:t>
      </w:r>
      <w:r w:rsidRPr="00034403">
        <w:rPr>
          <w:rFonts w:ascii="LinBiolinumO-Identity-H" w:hAnsi="LinBiolinumO-Identity-H"/>
          <w:sz w:val="22"/>
          <w:szCs w:val="22"/>
        </w:rPr>
        <w:t xml:space="preserve">Type: </w:t>
      </w:r>
      <w:r w:rsidRPr="00034403">
        <w:rPr>
          <w:rFonts w:ascii="LinBiolinumOB-Identity-H" w:hAnsi="LinBiolinumOB-Identity-H"/>
          <w:b/>
          <w:color w:val="FF0000"/>
          <w:sz w:val="22"/>
          <w:szCs w:val="22"/>
        </w:rPr>
        <w:t xml:space="preserve">Poster/Oral </w:t>
      </w:r>
      <w:r w:rsidRPr="00034403">
        <w:rPr>
          <w:rFonts w:ascii="LinBiolinumOB-Identity-H" w:hAnsi="LinBiolinumOB-Identity-H"/>
          <w:b/>
          <w:sz w:val="22"/>
          <w:szCs w:val="22"/>
        </w:rPr>
        <w:t>presentation</w:t>
      </w:r>
    </w:p>
    <w:p w:rsidR="005B34FD" w:rsidRDefault="005B34FD"/>
    <w:p w:rsidR="005B34FD" w:rsidRDefault="005B34FD"/>
    <w:p w:rsidR="005B34FD" w:rsidRDefault="00686B0F">
      <w:pPr>
        <w:jc w:val="center"/>
        <w:rPr>
          <w:rFonts w:ascii="Caladea" w:hAnsi="Caladea"/>
          <w:b/>
          <w:bCs/>
          <w:sz w:val="34"/>
        </w:rPr>
      </w:pPr>
      <w:r>
        <w:rPr>
          <w:rFonts w:ascii="Caladea" w:hAnsi="Caladea"/>
          <w:b/>
          <w:bCs/>
          <w:sz w:val="34"/>
        </w:rPr>
        <w:t>Materials with first-order transition and inverse</w:t>
      </w:r>
    </w:p>
    <w:p w:rsidR="005B34FD" w:rsidRDefault="00686B0F">
      <w:pPr>
        <w:jc w:val="center"/>
        <w:rPr>
          <w:rFonts w:ascii="Caladea" w:hAnsi="Caladea"/>
          <w:b/>
          <w:bCs/>
          <w:sz w:val="34"/>
        </w:rPr>
      </w:pPr>
      <w:proofErr w:type="gramStart"/>
      <w:r>
        <w:rPr>
          <w:rFonts w:ascii="Caladea" w:hAnsi="Caladea"/>
          <w:b/>
          <w:bCs/>
          <w:sz w:val="34"/>
        </w:rPr>
        <w:t>magnetocaloric</w:t>
      </w:r>
      <w:proofErr w:type="gramEnd"/>
      <w:r>
        <w:rPr>
          <w:rFonts w:ascii="Caladea" w:hAnsi="Caladea"/>
          <w:b/>
          <w:bCs/>
          <w:sz w:val="34"/>
        </w:rPr>
        <w:t xml:space="preserve"> effect and their peculiarities</w:t>
      </w:r>
    </w:p>
    <w:p w:rsidR="005B34FD" w:rsidRDefault="005B34FD">
      <w:pPr>
        <w:jc w:val="center"/>
      </w:pPr>
    </w:p>
    <w:p w:rsidR="005B34FD" w:rsidRDefault="005B34FD">
      <w:pPr>
        <w:rPr>
          <w:rFonts w:ascii="LinLibertineO-Identity-H" w:hAnsi="LinLibertineO-Identity-H" w:hint="eastAsia"/>
          <w:sz w:val="18"/>
          <w:szCs w:val="18"/>
        </w:rPr>
      </w:pPr>
    </w:p>
    <w:p w:rsidR="005B34FD" w:rsidRPr="00034403" w:rsidRDefault="00034403">
      <w:pPr>
        <w:rPr>
          <w:rFonts w:ascii="LinLibertineO-Identity-H" w:hAnsi="LinLibertineO-Identity-H" w:hint="eastAsia"/>
          <w:sz w:val="22"/>
          <w:szCs w:val="22"/>
        </w:rPr>
      </w:pPr>
      <w:r w:rsidRPr="00034403">
        <w:rPr>
          <w:rFonts w:ascii="LinLibertineO-Identity-H" w:hAnsi="LinLibertineO-Identity-H"/>
          <w:b/>
          <w:color w:val="FF0000"/>
          <w:sz w:val="22"/>
          <w:szCs w:val="22"/>
        </w:rPr>
        <w:t>Maximum 300 words:</w:t>
      </w:r>
      <w:r w:rsidRPr="00034403">
        <w:rPr>
          <w:rFonts w:ascii="LinLibertineO-Identity-H" w:hAnsi="LinLibertineO-Identity-H"/>
          <w:color w:val="FF0000"/>
          <w:sz w:val="22"/>
          <w:szCs w:val="22"/>
        </w:rPr>
        <w:t xml:space="preserve"> </w:t>
      </w:r>
      <w:proofErr w:type="spellStart"/>
      <w:r w:rsidR="00686B0F" w:rsidRPr="00034403">
        <w:rPr>
          <w:rFonts w:ascii="LinLibertineO-Identity-H" w:hAnsi="LinLibertineO-Identity-H"/>
          <w:sz w:val="22"/>
          <w:szCs w:val="22"/>
        </w:rPr>
        <w:t>NiMn</w:t>
      </w:r>
      <w:proofErr w:type="spellEnd"/>
      <w:r w:rsidR="00686B0F" w:rsidRPr="00034403">
        <w:rPr>
          <w:rFonts w:ascii="LinLibertineO-Identity-H" w:hAnsi="LinLibertineO-Identity-H"/>
          <w:sz w:val="22"/>
          <w:szCs w:val="22"/>
        </w:rPr>
        <w:t>-based Heusler alloys and Fe-Rh compounds have been widely studied due to their large inverse magnetocaloric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effect (MCE) [1, 2, 3] and other interesting properties [4, 5] originating from the first-order magnetostructural</w:t>
      </w:r>
      <w:r>
        <w:rPr>
          <w:rFonts w:ascii="LinLibertineO-Identity-H" w:hAnsi="LinLibertineO-Identity-H"/>
          <w:sz w:val="22"/>
          <w:szCs w:val="22"/>
        </w:rPr>
        <w:t xml:space="preserve"> transition they</w:t>
      </w:r>
      <w:r w:rsidR="00686B0F" w:rsidRPr="00034403">
        <w:rPr>
          <w:rFonts w:ascii="LinLibertineO-Identity-H" w:hAnsi="LinLibertineO-Identity-H"/>
          <w:sz w:val="22"/>
          <w:szCs w:val="22"/>
        </w:rPr>
        <w:t xml:space="preserve"> are exhibiting. In general, the low</w:t>
      </w:r>
      <w:r w:rsidRPr="00034403">
        <w:rPr>
          <w:rFonts w:ascii="LinLibertineO-Identity-H" w:hAnsi="LinLibertineO-Identity-H"/>
          <w:sz w:val="22"/>
          <w:szCs w:val="22"/>
        </w:rPr>
        <w:t>-</w:t>
      </w:r>
      <w:r w:rsidR="00686B0F" w:rsidRPr="00034403">
        <w:rPr>
          <w:rFonts w:ascii="LinLibertineO-Identity-H" w:hAnsi="LinLibertineO-Identity-H"/>
          <w:sz w:val="22"/>
          <w:szCs w:val="22"/>
        </w:rPr>
        <w:t>temperature phase has a lower magnetic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moment and lower volume than the high-temperature one. Therefore, not only the magnetization changes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during this transformation, but also the volume of the crystal lattice. Consequently, a magnetic field shifts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the transition towards lower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temperatures, while applying hydrostatic or uniaxial pressure shifts it toward higher temperatures. The transition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can be induced by magnetic-field application resulting in an inverse MCE - the cooling of the material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[6]. We have widely studied these alloys in pulsed magnetic fields, specifically, measuring the adiabatic temperature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 xml:space="preserve">change, </w:t>
      </w:r>
      <w:proofErr w:type="spellStart"/>
      <w:r w:rsidR="00686B0F" w:rsidRPr="00034403">
        <w:rPr>
          <w:rFonts w:ascii="CMR9" w:hAnsi="CMR9"/>
          <w:sz w:val="22"/>
          <w:szCs w:val="22"/>
        </w:rPr>
        <w:t>Δ</w:t>
      </w:r>
      <w:r w:rsidR="00686B0F" w:rsidRPr="00034403">
        <w:rPr>
          <w:rFonts w:ascii="CMMI9" w:hAnsi="CMMI9"/>
          <w:i/>
          <w:sz w:val="22"/>
          <w:szCs w:val="22"/>
        </w:rPr>
        <w:t>T</w:t>
      </w:r>
      <w:r w:rsidR="00686B0F" w:rsidRPr="00034403">
        <w:rPr>
          <w:rFonts w:ascii="CMMI6" w:hAnsi="CMMI6"/>
          <w:i/>
          <w:sz w:val="22"/>
          <w:szCs w:val="22"/>
        </w:rPr>
        <w:t>ad</w:t>
      </w:r>
      <w:proofErr w:type="spellEnd"/>
      <w:r w:rsidR="00686B0F" w:rsidRPr="00034403">
        <w:rPr>
          <w:rFonts w:ascii="LinLibertineO-Identity-H" w:hAnsi="LinLibertineO-Identity-H"/>
          <w:sz w:val="22"/>
          <w:szCs w:val="22"/>
        </w:rPr>
        <w:t xml:space="preserve">. In this work, we present an overview of the </w:t>
      </w:r>
      <w:proofErr w:type="spellStart"/>
      <w:r w:rsidR="00686B0F" w:rsidRPr="00034403">
        <w:rPr>
          <w:rFonts w:ascii="CMR9" w:hAnsi="CMR9"/>
          <w:sz w:val="22"/>
          <w:szCs w:val="22"/>
        </w:rPr>
        <w:t>Δ</w:t>
      </w:r>
      <w:r w:rsidR="00686B0F" w:rsidRPr="00034403">
        <w:rPr>
          <w:rFonts w:ascii="CMMI9" w:hAnsi="CMMI9"/>
          <w:i/>
          <w:sz w:val="22"/>
          <w:szCs w:val="22"/>
        </w:rPr>
        <w:t>T</w:t>
      </w:r>
      <w:r w:rsidR="00686B0F" w:rsidRPr="00034403">
        <w:rPr>
          <w:rFonts w:ascii="CMMI6" w:hAnsi="CMMI6"/>
          <w:i/>
          <w:sz w:val="22"/>
          <w:szCs w:val="22"/>
        </w:rPr>
        <w:t>ad</w:t>
      </w:r>
      <w:proofErr w:type="spellEnd"/>
      <w:r w:rsidR="00686B0F" w:rsidRPr="00034403">
        <w:rPr>
          <w:rFonts w:ascii="CMMI6" w:hAnsi="CMMI6"/>
          <w:i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characterization in magnetic fields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 xml:space="preserve">up to 50 T through different examples of </w:t>
      </w:r>
      <w:proofErr w:type="spellStart"/>
      <w:r w:rsidR="00686B0F" w:rsidRPr="00034403">
        <w:rPr>
          <w:rFonts w:ascii="LinLibertineO-Identity-H" w:hAnsi="LinLibertineO-Identity-H"/>
          <w:sz w:val="22"/>
          <w:szCs w:val="22"/>
        </w:rPr>
        <w:t>NiMn</w:t>
      </w:r>
      <w:proofErr w:type="spellEnd"/>
      <w:r w:rsidR="00686B0F" w:rsidRPr="00034403">
        <w:rPr>
          <w:rFonts w:ascii="LinLibertineO-Identity-H" w:hAnsi="LinLibertineO-Identity-H"/>
          <w:sz w:val="22"/>
          <w:szCs w:val="22"/>
        </w:rPr>
        <w:t>-based Heusler alloys and Fe-Rh compounds. We show the</w:t>
      </w:r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r w:rsidR="00686B0F" w:rsidRPr="00034403">
        <w:rPr>
          <w:rFonts w:ascii="LinLibertineO-Identity-H" w:hAnsi="LinLibertineO-Identity-H"/>
          <w:sz w:val="22"/>
          <w:szCs w:val="22"/>
        </w:rPr>
        <w:t>general characteristics of the MCE of this class of materials and discuss their peculiarities.</w:t>
      </w:r>
    </w:p>
    <w:p w:rsidR="00686B0F" w:rsidRPr="00034403" w:rsidRDefault="00686B0F">
      <w:pPr>
        <w:rPr>
          <w:rFonts w:ascii="LinLibertineO-Identity-H" w:hAnsi="LinLibertineO-Identity-H" w:hint="eastAsia"/>
          <w:sz w:val="22"/>
          <w:szCs w:val="22"/>
        </w:rPr>
      </w:pPr>
    </w:p>
    <w:p w:rsidR="005B34FD" w:rsidRPr="00034403" w:rsidRDefault="00686B0F">
      <w:pPr>
        <w:rPr>
          <w:rFonts w:ascii="LinLibertineO-Identity-H" w:hAnsi="LinLibertineO-Identity-H" w:hint="eastAsia"/>
          <w:sz w:val="22"/>
          <w:szCs w:val="22"/>
        </w:rPr>
      </w:pPr>
      <w:r w:rsidRPr="00034403">
        <w:rPr>
          <w:rFonts w:ascii="LinLibertineO-Identity-H" w:hAnsi="LinLibertineO-Identity-H"/>
          <w:sz w:val="22"/>
          <w:szCs w:val="22"/>
          <w:lang w:val="de-DE"/>
        </w:rPr>
        <w:t xml:space="preserve">[1] A. M. Chirkova et al., Phys. </w:t>
      </w:r>
      <w:r w:rsidRPr="00034403">
        <w:rPr>
          <w:rFonts w:ascii="LinLibertineO-Identity-H" w:hAnsi="LinLibertineO-Identity-H"/>
          <w:sz w:val="22"/>
          <w:szCs w:val="22"/>
        </w:rPr>
        <w:t xml:space="preserve">Rev. </w:t>
      </w:r>
      <w:proofErr w:type="gramStart"/>
      <w:r w:rsidRPr="00034403">
        <w:rPr>
          <w:rFonts w:ascii="LinLibertineO-Identity-H" w:hAnsi="LinLibertineO-Identity-H"/>
          <w:sz w:val="22"/>
          <w:szCs w:val="22"/>
        </w:rPr>
        <w:t>Mater.,</w:t>
      </w:r>
      <w:proofErr w:type="gramEnd"/>
      <w:r w:rsidRPr="00034403">
        <w:rPr>
          <w:rFonts w:ascii="LinLibertineO-Identity-H" w:hAnsi="LinLibertineO-Identity-H"/>
          <w:sz w:val="22"/>
          <w:szCs w:val="22"/>
        </w:rPr>
        <w:t xml:space="preserve"> 5, 064412 (2021)</w:t>
      </w:r>
    </w:p>
    <w:p w:rsidR="005B34FD" w:rsidRPr="00034403" w:rsidRDefault="00686B0F">
      <w:pPr>
        <w:rPr>
          <w:rFonts w:ascii="LinLibertineO-Identity-H" w:hAnsi="LinLibertineO-Identity-H" w:hint="eastAsia"/>
          <w:sz w:val="22"/>
          <w:szCs w:val="22"/>
        </w:rPr>
      </w:pPr>
      <w:r w:rsidRPr="00034403">
        <w:rPr>
          <w:rFonts w:ascii="LinLibertineO-Identity-H" w:hAnsi="LinLibertineO-Identity-H"/>
          <w:sz w:val="22"/>
          <w:szCs w:val="22"/>
        </w:rPr>
        <w:t xml:space="preserve">[2] M. </w:t>
      </w:r>
      <w:proofErr w:type="spellStart"/>
      <w:r w:rsidRPr="00034403">
        <w:rPr>
          <w:rFonts w:ascii="LinLibertineO-Identity-H" w:hAnsi="LinLibertineO-Identity-H"/>
          <w:sz w:val="22"/>
          <w:szCs w:val="22"/>
        </w:rPr>
        <w:t>Ghorbani</w:t>
      </w:r>
      <w:proofErr w:type="spellEnd"/>
      <w:r w:rsidRPr="00034403">
        <w:rPr>
          <w:rFonts w:ascii="LinLibertineO-Identity-H" w:hAnsi="LinLibertineO-Identity-H"/>
          <w:sz w:val="22"/>
          <w:szCs w:val="22"/>
        </w:rPr>
        <w:t xml:space="preserve"> </w:t>
      </w:r>
      <w:proofErr w:type="spellStart"/>
      <w:r w:rsidRPr="00034403">
        <w:rPr>
          <w:rFonts w:ascii="LinLibertineO-Identity-H" w:hAnsi="LinLibertineO-Identity-H"/>
          <w:sz w:val="22"/>
          <w:szCs w:val="22"/>
        </w:rPr>
        <w:t>Zavareh</w:t>
      </w:r>
      <w:proofErr w:type="spellEnd"/>
      <w:r w:rsidRPr="00034403">
        <w:rPr>
          <w:rFonts w:ascii="LinLibertineO-Identity-H" w:hAnsi="LinLibertineO-Identity-H"/>
          <w:sz w:val="22"/>
          <w:szCs w:val="22"/>
        </w:rPr>
        <w:t xml:space="preserve"> et al., Appl. Phys. Lett. 106, 071904 (2015)</w:t>
      </w:r>
    </w:p>
    <w:p w:rsidR="005B34FD" w:rsidRPr="00034403" w:rsidRDefault="00686B0F">
      <w:pPr>
        <w:rPr>
          <w:rFonts w:ascii="LinLibertineO-Identity-H" w:hAnsi="LinLibertineO-Identity-H" w:hint="eastAsia"/>
          <w:sz w:val="22"/>
          <w:szCs w:val="22"/>
        </w:rPr>
      </w:pPr>
      <w:r w:rsidRPr="00034403">
        <w:rPr>
          <w:rFonts w:ascii="LinLibertineO-Identity-H" w:hAnsi="LinLibertineO-Identity-H"/>
          <w:sz w:val="22"/>
          <w:szCs w:val="22"/>
        </w:rPr>
        <w:t>[3] T. Gottschall et al., Phys. Rev. Appl. 5, 024013 (2016)</w:t>
      </w:r>
    </w:p>
    <w:p w:rsidR="005B34FD" w:rsidRPr="00034403" w:rsidRDefault="00686B0F">
      <w:pPr>
        <w:rPr>
          <w:rFonts w:ascii="LinLibertineO-Identity-H" w:hAnsi="LinLibertineO-Identity-H" w:hint="eastAsia"/>
          <w:sz w:val="22"/>
          <w:szCs w:val="22"/>
          <w:lang w:val="de-DE"/>
        </w:rPr>
      </w:pPr>
      <w:r w:rsidRPr="00034403">
        <w:rPr>
          <w:rFonts w:ascii="LinLibertineO-Identity-H" w:hAnsi="LinLibertineO-Identity-H"/>
          <w:sz w:val="22"/>
          <w:szCs w:val="22"/>
        </w:rPr>
        <w:t xml:space="preserve">[4] C. Salazar </w:t>
      </w:r>
      <w:proofErr w:type="spellStart"/>
      <w:r w:rsidRPr="00034403">
        <w:rPr>
          <w:rFonts w:ascii="LinLibertineO-Identity-H" w:hAnsi="LinLibertineO-Identity-H"/>
          <w:sz w:val="22"/>
          <w:szCs w:val="22"/>
        </w:rPr>
        <w:t>Mejía</w:t>
      </w:r>
      <w:proofErr w:type="spellEnd"/>
      <w:r w:rsidRPr="00034403">
        <w:rPr>
          <w:rFonts w:ascii="LinLibertineO-Identity-H" w:hAnsi="LinLibertineO-Identity-H"/>
          <w:sz w:val="22"/>
          <w:szCs w:val="22"/>
        </w:rPr>
        <w:t xml:space="preserve"> et al., Appl. </w:t>
      </w:r>
      <w:r w:rsidRPr="00034403">
        <w:rPr>
          <w:rFonts w:ascii="LinLibertineO-Identity-H" w:hAnsi="LinLibertineO-Identity-H"/>
          <w:sz w:val="22"/>
          <w:szCs w:val="22"/>
          <w:lang w:val="de-DE"/>
        </w:rPr>
        <w:t xml:space="preserve">Phys. </w:t>
      </w:r>
      <w:proofErr w:type="spellStart"/>
      <w:r w:rsidRPr="00034403">
        <w:rPr>
          <w:rFonts w:ascii="LinLibertineO-Identity-H" w:hAnsi="LinLibertineO-Identity-H"/>
          <w:sz w:val="22"/>
          <w:szCs w:val="22"/>
          <w:lang w:val="de-DE"/>
        </w:rPr>
        <w:t>Lett</w:t>
      </w:r>
      <w:proofErr w:type="spellEnd"/>
      <w:r w:rsidRPr="00034403">
        <w:rPr>
          <w:rFonts w:ascii="LinLibertineO-Identity-H" w:hAnsi="LinLibertineO-Identity-H"/>
          <w:sz w:val="22"/>
          <w:szCs w:val="22"/>
          <w:lang w:val="de-DE"/>
        </w:rPr>
        <w:t>. 110, 071901 (2017)</w:t>
      </w:r>
    </w:p>
    <w:p w:rsidR="005B34FD" w:rsidRPr="00034403" w:rsidRDefault="00686B0F">
      <w:pPr>
        <w:rPr>
          <w:rFonts w:ascii="LinLibertineO-Identity-H" w:hAnsi="LinLibertineO-Identity-H" w:hint="eastAsia"/>
          <w:sz w:val="22"/>
          <w:szCs w:val="22"/>
          <w:lang w:val="de-DE"/>
        </w:rPr>
      </w:pPr>
      <w:r w:rsidRPr="00034403">
        <w:rPr>
          <w:rFonts w:ascii="LinLibertineO-Identity-H" w:hAnsi="LinLibertineO-Identity-H"/>
          <w:sz w:val="22"/>
          <w:szCs w:val="22"/>
          <w:lang w:val="de-DE"/>
        </w:rPr>
        <w:t>[5] B. Beckmann et al., Acta Mater., 246, 118695 (2023)</w:t>
      </w:r>
    </w:p>
    <w:p w:rsidR="005B34FD" w:rsidRPr="00034403" w:rsidRDefault="00686B0F">
      <w:pPr>
        <w:rPr>
          <w:rFonts w:ascii="LinLibertineO-Identity-H" w:hAnsi="LinLibertineO-Identity-H" w:hint="eastAsia"/>
          <w:sz w:val="22"/>
          <w:szCs w:val="22"/>
        </w:rPr>
      </w:pPr>
      <w:r w:rsidRPr="00034403">
        <w:rPr>
          <w:rFonts w:ascii="LinLibertineO-Identity-H" w:hAnsi="LinLibertineO-Identity-H"/>
          <w:sz w:val="22"/>
          <w:szCs w:val="22"/>
          <w:lang w:val="de-DE"/>
        </w:rPr>
        <w:t xml:space="preserve">[6] O. Gutfleisch et al., Phil. </w:t>
      </w:r>
      <w:r w:rsidRPr="00034403">
        <w:rPr>
          <w:rFonts w:ascii="LinLibertineO-Identity-H" w:hAnsi="LinLibertineO-Identity-H"/>
          <w:sz w:val="22"/>
          <w:szCs w:val="22"/>
        </w:rPr>
        <w:t>Trans. R. Soc. A, 374, 20150308 (2016)</w:t>
      </w:r>
    </w:p>
    <w:p w:rsidR="005B34FD" w:rsidRPr="00034403" w:rsidRDefault="005B34FD">
      <w:pPr>
        <w:rPr>
          <w:sz w:val="22"/>
          <w:szCs w:val="22"/>
        </w:rPr>
      </w:pPr>
    </w:p>
    <w:p w:rsidR="005B34FD" w:rsidRPr="00034403" w:rsidRDefault="005B34FD">
      <w:pPr>
        <w:rPr>
          <w:sz w:val="22"/>
          <w:szCs w:val="22"/>
        </w:rPr>
      </w:pPr>
    </w:p>
    <w:p w:rsidR="005B34FD" w:rsidRPr="00034403" w:rsidRDefault="005B34FD">
      <w:pPr>
        <w:rPr>
          <w:sz w:val="22"/>
          <w:szCs w:val="22"/>
        </w:rPr>
      </w:pPr>
    </w:p>
    <w:p w:rsidR="005B34FD" w:rsidRPr="00945EA9" w:rsidRDefault="00686B0F">
      <w:pPr>
        <w:rPr>
          <w:rFonts w:ascii="LinLibertineO-Identity-H" w:hAnsi="LinLibertineO-Identity-H" w:hint="eastAsia"/>
          <w:sz w:val="22"/>
          <w:szCs w:val="22"/>
        </w:rPr>
      </w:pPr>
      <w:r w:rsidRPr="00034403">
        <w:rPr>
          <w:rFonts w:ascii="LinLibertineOB-Identity-H" w:hAnsi="LinLibertineOB-Identity-H"/>
          <w:b/>
          <w:sz w:val="22"/>
          <w:szCs w:val="22"/>
        </w:rPr>
        <w:t xml:space="preserve">Primary authors:  </w:t>
      </w:r>
      <w:r w:rsidRPr="00034403">
        <w:rPr>
          <w:rFonts w:ascii="LinLibertineO-Identity-H" w:hAnsi="LinLibertineO-Identity-H"/>
          <w:sz w:val="22"/>
          <w:szCs w:val="22"/>
        </w:rPr>
        <w:t>SALAZAR MEJIA, Catalina (</w:t>
      </w:r>
      <w:r w:rsidR="00945EA9" w:rsidRPr="00945EA9">
        <w:rPr>
          <w:rFonts w:ascii="LinLibertineO-Identity-H" w:hAnsi="LinLibertineO-Identity-H"/>
          <w:sz w:val="22"/>
          <w:szCs w:val="22"/>
        </w:rPr>
        <w:t>Helmholtz-</w:t>
      </w:r>
      <w:proofErr w:type="spellStart"/>
      <w:r w:rsidR="00945EA9" w:rsidRPr="00945EA9">
        <w:rPr>
          <w:rFonts w:ascii="LinLibertineO-Identity-H" w:hAnsi="LinLibertineO-Identity-H"/>
          <w:sz w:val="22"/>
          <w:szCs w:val="22"/>
        </w:rPr>
        <w:t>Zentrum</w:t>
      </w:r>
      <w:proofErr w:type="spellEnd"/>
      <w:r w:rsidR="00945EA9" w:rsidRPr="00945EA9">
        <w:rPr>
          <w:rFonts w:ascii="LinLibertineO-Identity-H" w:hAnsi="LinLibertineO-Identity-H"/>
          <w:sz w:val="22"/>
          <w:szCs w:val="22"/>
        </w:rPr>
        <w:t xml:space="preserve"> Dresden-Rossendorf</w:t>
      </w:r>
      <w:r w:rsidRPr="00034403">
        <w:rPr>
          <w:rFonts w:ascii="LinLibertineO-Identity-H" w:hAnsi="LinLibertineO-Identity-H"/>
          <w:sz w:val="22"/>
          <w:szCs w:val="22"/>
        </w:rPr>
        <w:t>); NIEHOFF, Timo (</w:t>
      </w:r>
      <w:r w:rsidR="00945EA9" w:rsidRPr="00945EA9">
        <w:rPr>
          <w:rFonts w:ascii="LinLibertineO-Identity-H" w:hAnsi="LinLibertineO-Identity-H"/>
          <w:sz w:val="22"/>
          <w:szCs w:val="22"/>
        </w:rPr>
        <w:t>Helmholtz-</w:t>
      </w:r>
      <w:proofErr w:type="spellStart"/>
      <w:r w:rsidR="00945EA9" w:rsidRPr="00945EA9">
        <w:rPr>
          <w:rFonts w:ascii="LinLibertineO-Identity-H" w:hAnsi="LinLibertineO-Identity-H"/>
          <w:sz w:val="22"/>
          <w:szCs w:val="22"/>
        </w:rPr>
        <w:t>Zentrum</w:t>
      </w:r>
      <w:proofErr w:type="spellEnd"/>
      <w:r w:rsidR="00945EA9" w:rsidRPr="00945EA9">
        <w:rPr>
          <w:rFonts w:ascii="LinLibertineO-Identity-H" w:hAnsi="LinLibertineO-Identity-H"/>
          <w:sz w:val="22"/>
          <w:szCs w:val="22"/>
        </w:rPr>
        <w:t xml:space="preserve"> Dresden-Rossendorf</w:t>
      </w:r>
      <w:r w:rsidRPr="00034403">
        <w:rPr>
          <w:rFonts w:ascii="LinLibertineO-Identity-H" w:hAnsi="LinLibertineO-Identity-H"/>
          <w:sz w:val="22"/>
          <w:szCs w:val="22"/>
        </w:rPr>
        <w:t>); GOTTSCHALL, Tino</w:t>
      </w:r>
      <w:r w:rsidR="00945EA9">
        <w:rPr>
          <w:rFonts w:ascii="LinLibertineO-Identity-H" w:hAnsi="LinLibertineO-Identity-H"/>
          <w:sz w:val="22"/>
          <w:szCs w:val="22"/>
        </w:rPr>
        <w:t xml:space="preserve"> </w:t>
      </w:r>
      <w:r w:rsidRPr="00945EA9">
        <w:rPr>
          <w:rFonts w:ascii="LinLibertineO-Identity-H" w:hAnsi="LinLibertineO-Identity-H"/>
          <w:sz w:val="22"/>
          <w:szCs w:val="22"/>
        </w:rPr>
        <w:t>(Helmholtz-</w:t>
      </w:r>
      <w:proofErr w:type="spellStart"/>
      <w:r w:rsidRPr="00945EA9">
        <w:rPr>
          <w:rFonts w:ascii="LinLibertineO-Identity-H" w:hAnsi="LinLibertineO-Identity-H"/>
          <w:sz w:val="22"/>
          <w:szCs w:val="22"/>
        </w:rPr>
        <w:t>Zentrum</w:t>
      </w:r>
      <w:proofErr w:type="spellEnd"/>
      <w:r w:rsidRPr="00945EA9">
        <w:rPr>
          <w:rFonts w:ascii="LinLibertineO-Identity-H" w:hAnsi="LinLibertineO-Identity-H"/>
          <w:sz w:val="22"/>
          <w:szCs w:val="22"/>
        </w:rPr>
        <w:t xml:space="preserve"> Dresden-Rossendorf)</w:t>
      </w:r>
    </w:p>
    <w:p w:rsidR="005B34FD" w:rsidRPr="00945EA9" w:rsidRDefault="005B34FD">
      <w:pPr>
        <w:rPr>
          <w:sz w:val="22"/>
          <w:szCs w:val="22"/>
        </w:rPr>
      </w:pPr>
    </w:p>
    <w:p w:rsidR="005B34FD" w:rsidRPr="00034403" w:rsidRDefault="00686B0F">
      <w:pPr>
        <w:rPr>
          <w:sz w:val="22"/>
          <w:szCs w:val="22"/>
          <w:lang w:val="de-DE"/>
        </w:rPr>
      </w:pPr>
      <w:proofErr w:type="spellStart"/>
      <w:r w:rsidRPr="00034403">
        <w:rPr>
          <w:rFonts w:ascii="LinLibertineOB-Identity-H" w:hAnsi="LinLibertineOB-Identity-H"/>
          <w:b/>
          <w:sz w:val="22"/>
          <w:szCs w:val="22"/>
          <w:lang w:val="de-DE"/>
        </w:rPr>
        <w:t>Presenter</w:t>
      </w:r>
      <w:proofErr w:type="spellEnd"/>
      <w:r w:rsidRPr="00034403">
        <w:rPr>
          <w:rFonts w:ascii="LinLibertineOB-Identity-H" w:hAnsi="LinLibertineOB-Identity-H"/>
          <w:b/>
          <w:sz w:val="22"/>
          <w:szCs w:val="22"/>
          <w:lang w:val="de-DE"/>
        </w:rPr>
        <w:t xml:space="preserve">:  </w:t>
      </w:r>
      <w:r w:rsidRPr="00034403">
        <w:rPr>
          <w:rFonts w:ascii="LinLibertineO-Identity-H" w:hAnsi="LinLibertineO-Identity-H"/>
          <w:sz w:val="22"/>
          <w:szCs w:val="22"/>
          <w:lang w:val="de-DE"/>
        </w:rPr>
        <w:t>SALAZAR MEJIA, Catalina (</w:t>
      </w:r>
      <w:r w:rsidR="00945EA9" w:rsidRPr="00034403">
        <w:rPr>
          <w:rFonts w:ascii="LinLibertineO-Identity-H" w:hAnsi="LinLibertineO-Identity-H"/>
          <w:sz w:val="22"/>
          <w:szCs w:val="22"/>
          <w:lang w:val="de-DE"/>
        </w:rPr>
        <w:t>Helmholtz-Zentrum Dresden-Rossendorf</w:t>
      </w:r>
      <w:r w:rsidRPr="00034403">
        <w:rPr>
          <w:rFonts w:ascii="LinLibertineO-Identity-H" w:hAnsi="LinLibertineO-Identity-H"/>
          <w:sz w:val="22"/>
          <w:szCs w:val="22"/>
          <w:lang w:val="de-DE"/>
        </w:rPr>
        <w:t>)</w:t>
      </w:r>
      <w:bookmarkStart w:id="0" w:name="_GoBack"/>
      <w:bookmarkEnd w:id="0"/>
    </w:p>
    <w:sectPr w:rsidR="005B34FD" w:rsidRPr="00034403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10" w:rsidRDefault="00686B0F">
      <w:r>
        <w:separator/>
      </w:r>
    </w:p>
  </w:endnote>
  <w:endnote w:type="continuationSeparator" w:id="0">
    <w:p w:rsidR="00BA1210" w:rsidRDefault="0068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nBiolinumO-Identity-H">
    <w:altName w:val="Times New Roman"/>
    <w:charset w:val="00"/>
    <w:family w:val="roman"/>
    <w:pitch w:val="variable"/>
  </w:font>
  <w:font w:name="LinBiolinumOB-Identity-H">
    <w:altName w:val="Times New Roman"/>
    <w:charset w:val="00"/>
    <w:family w:val="roman"/>
    <w:pitch w:val="variable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LinLibertineO-Identity-H">
    <w:altName w:val="Times New Roman"/>
    <w:charset w:val="00"/>
    <w:family w:val="roman"/>
    <w:pitch w:val="variable"/>
  </w:font>
  <w:font w:name="CMR9">
    <w:altName w:val="Times New Roman"/>
    <w:charset w:val="00"/>
    <w:family w:val="roman"/>
    <w:pitch w:val="variable"/>
  </w:font>
  <w:font w:name="CMMI9">
    <w:altName w:val="Times New Roman"/>
    <w:charset w:val="00"/>
    <w:family w:val="roman"/>
    <w:pitch w:val="variable"/>
  </w:font>
  <w:font w:name="CMMI6">
    <w:altName w:val="Times New Roman"/>
    <w:charset w:val="00"/>
    <w:family w:val="roman"/>
    <w:pitch w:val="variable"/>
  </w:font>
  <w:font w:name="LinLibertineOB-Identity-H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10" w:rsidRDefault="00686B0F">
      <w:r>
        <w:rPr>
          <w:color w:val="000000"/>
        </w:rPr>
        <w:separator/>
      </w:r>
    </w:p>
  </w:footnote>
  <w:footnote w:type="continuationSeparator" w:id="0">
    <w:p w:rsidR="00BA1210" w:rsidRDefault="0068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0F" w:rsidRDefault="00686B0F" w:rsidP="00686B0F">
    <w:pPr>
      <w:jc w:val="center"/>
      <w:rPr>
        <w:rFonts w:ascii="LinBiolinumOB-Identity-H" w:hAnsi="LinBiolinumOB-Identity-H" w:hint="eastAsia"/>
        <w:b/>
        <w:color w:val="808080"/>
      </w:rPr>
    </w:pPr>
    <w:r>
      <w:rPr>
        <w:rFonts w:ascii="LinBiolinumOB-Identity-H" w:hAnsi="LinBiolinumOB-Identity-H"/>
        <w:b/>
        <w:color w:val="808080"/>
      </w:rPr>
      <w:t>DDMC 2023</w:t>
    </w:r>
  </w:p>
  <w:p w:rsidR="00686B0F" w:rsidRDefault="00686B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D"/>
    <w:rsid w:val="00034403"/>
    <w:rsid w:val="005B34FD"/>
    <w:rsid w:val="00686B0F"/>
    <w:rsid w:val="00945EA9"/>
    <w:rsid w:val="00B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4529"/>
  <w15:docId w15:val="{0FD7AD8D-F87D-4698-AB26-F9B59154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686B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86B0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86B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86B0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Gottschall, Dr. Tino (FWHE) - 106844</dc:creator>
  <cp:lastModifiedBy>Gottschall, Dr. Tino (FWHE) - 106844</cp:lastModifiedBy>
  <cp:revision>4</cp:revision>
  <dcterms:created xsi:type="dcterms:W3CDTF">2023-06-14T10:51:00Z</dcterms:created>
  <dcterms:modified xsi:type="dcterms:W3CDTF">2023-06-20T07:47:00Z</dcterms:modified>
</cp:coreProperties>
</file>