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49249E">
      <w:pPr>
        <w:widowControl w:val="0"/>
        <w:jc w:val="left"/>
        <w:rPr>
          <w:rFonts w:hint="eastAsia" w:ascii="Arial" w:hAnsi="Arial" w:eastAsia="Arial Unicode MS" w:cs="Arial"/>
          <w:b/>
          <w:bCs/>
          <w:kern w:val="2"/>
          <w:sz w:val="28"/>
          <w:szCs w:val="28"/>
          <w:lang w:val="en-US" w:eastAsia="zh-CN"/>
        </w:rPr>
      </w:pPr>
      <w:bookmarkStart w:id="0" w:name="Bookmark2"/>
      <w:bookmarkStart w:id="1" w:name="_Toc187815268"/>
    </w:p>
    <w:p w14:paraId="2AA08FB4">
      <w:pPr>
        <w:pStyle w:val="38"/>
        <w:jc w:val="left"/>
      </w:pPr>
      <w:r>
        <w:rPr>
          <w:rFonts w:hint="eastAsia" w:ascii="Arial" w:hAnsi="Arial" w:eastAsiaTheme="minorEastAsia"/>
          <w:kern w:val="0"/>
          <w:szCs w:val="20"/>
          <w:lang w:val="en-US" w:eastAsia="zh-CN"/>
        </w:rPr>
        <w:t>Zhihao</w:t>
      </w:r>
      <w:r>
        <w:rPr>
          <w:rFonts w:hint="eastAsia" w:ascii="Arial" w:hAnsi="Arial" w:eastAsiaTheme="minorEastAsia"/>
          <w:kern w:val="0"/>
          <w:szCs w:val="20"/>
          <w:lang w:val="en-GB" w:eastAsia="zh-CN"/>
        </w:rPr>
        <w:t xml:space="preserve"> </w:t>
      </w:r>
      <w:r>
        <w:rPr>
          <w:rFonts w:hint="eastAsia" w:ascii="Arial" w:hAnsi="Arial" w:eastAsiaTheme="minorEastAsia"/>
          <w:kern w:val="0"/>
          <w:szCs w:val="20"/>
          <w:lang w:val="en-US" w:eastAsia="zh-CN"/>
        </w:rPr>
        <w:t>Cui</w:t>
      </w:r>
      <w:r>
        <w:rPr>
          <w:rFonts w:hint="eastAsia" w:ascii="Arial" w:hAnsi="Arial" w:eastAsiaTheme="minorEastAsia"/>
          <w:kern w:val="0"/>
          <w:szCs w:val="20"/>
          <w:lang w:val="en-GB" w:eastAsia="zh-CN"/>
        </w:rPr>
        <w:t xml:space="preserve"> </w:t>
      </w:r>
      <w:r>
        <w:t xml:space="preserve">    </w:t>
      </w:r>
      <w:r>
        <w:fldChar w:fldCharType="begin"/>
      </w:r>
      <w:r>
        <w:instrText xml:space="preserve"> HYPERLINK "mailto:ptalalay@" </w:instrText>
      </w:r>
      <w:r>
        <w:fldChar w:fldCharType="separate"/>
      </w:r>
      <w:r>
        <w:rPr>
          <w:rStyle w:val="29"/>
          <w:rFonts w:hint="eastAsia" w:eastAsia="宋体"/>
          <w:lang w:val="en-US" w:eastAsia="zh-CN"/>
        </w:rPr>
        <w:t>zhcui22</w:t>
      </w:r>
      <w:r>
        <w:rPr>
          <w:rStyle w:val="29"/>
        </w:rPr>
        <w:t>@</w:t>
      </w:r>
      <w:r>
        <w:rPr>
          <w:rStyle w:val="29"/>
        </w:rPr>
        <w:fldChar w:fldCharType="end"/>
      </w:r>
      <w:r>
        <w:rPr>
          <w:rStyle w:val="29"/>
          <w:rFonts w:hint="eastAsia" w:eastAsia="宋体"/>
          <w:lang w:val="en-US" w:eastAsia="zh-CN"/>
        </w:rPr>
        <w:t>mails.jlu.edu.cn</w:t>
      </w:r>
    </w:p>
    <w:p w14:paraId="445496D4">
      <w:pPr>
        <w:pStyle w:val="38"/>
        <w:widowControl/>
        <w:suppressAutoHyphens/>
        <w:spacing w:after="60"/>
        <w:jc w:val="left"/>
        <w:outlineLvl w:val="2"/>
        <w:rPr>
          <w:rFonts w:ascii="Arial" w:hAnsi="Arial" w:cs="Arial" w:eastAsiaTheme="minorEastAsia"/>
          <w:b/>
          <w:bCs/>
          <w:kern w:val="0"/>
          <w:sz w:val="22"/>
          <w:szCs w:val="22"/>
          <w:lang w:val="en-GB" w:eastAsia="ru-RU"/>
        </w:rPr>
      </w:pPr>
      <w:r>
        <w:rPr>
          <w:rFonts w:hint="eastAsia" w:ascii="Arial" w:hAnsi="Arial" w:cs="Arial" w:eastAsiaTheme="minorEastAsia"/>
          <w:b/>
          <w:bCs/>
          <w:kern w:val="0"/>
          <w:sz w:val="22"/>
          <w:szCs w:val="22"/>
          <w:lang w:val="en-US" w:eastAsia="zh-CN"/>
        </w:rPr>
        <w:t>Subglacial drilling and sampling</w:t>
      </w:r>
    </w:p>
    <w:p w14:paraId="12AF133F">
      <w:pPr>
        <w:pStyle w:val="34"/>
        <w:widowControl/>
        <w:suppressAutoHyphens/>
        <w:spacing w:after="60"/>
        <w:rPr>
          <w:rFonts w:ascii="Arial" w:hAnsi="Arial" w:eastAsiaTheme="minorEastAsia"/>
          <w:kern w:val="0"/>
          <w:sz w:val="22"/>
          <w:lang w:val="en-GB" w:eastAsia="ar-SA"/>
        </w:rPr>
      </w:pPr>
      <w:r>
        <w:rPr>
          <w:rFonts w:hint="eastAsia" w:ascii="Arial" w:hAnsi="Arial" w:eastAsiaTheme="minorEastAsia"/>
          <w:kern w:val="0"/>
          <w:sz w:val="22"/>
          <w:lang w:val="en-US" w:eastAsia="zh-CN"/>
        </w:rPr>
        <w:t>Poster</w:t>
      </w:r>
    </w:p>
    <w:bookmarkEnd w:id="0"/>
    <w:bookmarkEnd w:id="1"/>
    <w:p w14:paraId="4F41A778">
      <w:pPr>
        <w:pStyle w:val="32"/>
        <w:rPr>
          <w:rStyle w:val="75"/>
          <w:rFonts w:eastAsia="宋体"/>
          <w:lang w:val="en-US" w:eastAsia="zh-CN"/>
        </w:rPr>
      </w:pPr>
      <w:bookmarkStart w:id="3" w:name="_GoBack"/>
      <w:r>
        <w:rPr>
          <w:rFonts w:hint="eastAsia"/>
        </w:rPr>
        <w:t>Model construction and mechanism analysis</w:t>
      </w:r>
      <w:r>
        <w:rPr>
          <w:rFonts w:hint="eastAsia"/>
          <w:lang w:val="en-US" w:eastAsia="zh-CN"/>
        </w:rPr>
        <w:t xml:space="preserve"> </w:t>
      </w:r>
      <w:r>
        <w:rPr>
          <w:rFonts w:hint="eastAsia"/>
        </w:rPr>
        <w:t xml:space="preserve">on </w:t>
      </w:r>
      <w:r>
        <w:rPr>
          <w:rStyle w:val="75"/>
          <w:rFonts w:hint="eastAsia"/>
        </w:rPr>
        <w:t xml:space="preserve">subglacial bedrock core </w:t>
      </w:r>
      <w:r>
        <w:rPr>
          <w:rFonts w:hint="eastAsia"/>
        </w:rPr>
        <w:t>breakin</w:t>
      </w:r>
      <w:r>
        <w:rPr>
          <w:rFonts w:hint="eastAsia"/>
          <w:lang w:val="en-US" w:eastAsia="zh-CN"/>
        </w:rPr>
        <w:t xml:space="preserve">g </w:t>
      </w:r>
      <w:r>
        <w:rPr>
          <w:rStyle w:val="75"/>
          <w:rFonts w:hint="eastAsia" w:eastAsia="宋体"/>
          <w:lang w:val="en-US" w:eastAsia="zh-CN"/>
        </w:rPr>
        <w:t>DURING HYDRAULIC REVERSE CIRCULATION CONTINUOUS CORING</w:t>
      </w:r>
      <w:bookmarkEnd w:id="3"/>
    </w:p>
    <w:tbl>
      <w:tblPr>
        <w:tblStyle w:val="22"/>
        <w:tblW w:w="0" w:type="auto"/>
        <w:tblInd w:w="0" w:type="dxa"/>
        <w:tblLayout w:type="fixed"/>
        <w:tblCellMar>
          <w:top w:w="0" w:type="dxa"/>
          <w:left w:w="108" w:type="dxa"/>
          <w:bottom w:w="0" w:type="dxa"/>
          <w:right w:w="108" w:type="dxa"/>
        </w:tblCellMar>
      </w:tblPr>
      <w:tblGrid>
        <w:gridCol w:w="4536"/>
        <w:gridCol w:w="4533"/>
      </w:tblGrid>
      <w:tr w14:paraId="687AB749">
        <w:tc>
          <w:tcPr>
            <w:tcW w:w="4536" w:type="dxa"/>
            <w:shd w:val="clear" w:color="auto" w:fill="auto"/>
          </w:tcPr>
          <w:p w14:paraId="58638A5A">
            <w:pPr>
              <w:pStyle w:val="45"/>
            </w:pPr>
            <w:r>
              <w:rPr>
                <w:rFonts w:hint="eastAsia" w:eastAsia="宋体"/>
                <w:lang w:val="en-US" w:eastAsia="zh-CN"/>
              </w:rPr>
              <w:t>Zhihao</w:t>
            </w:r>
            <w:r>
              <w:t xml:space="preserve"> </w:t>
            </w:r>
            <w:r>
              <w:rPr>
                <w:rFonts w:hint="eastAsia" w:eastAsia="宋体"/>
                <w:lang w:val="en-US" w:eastAsia="zh-CN"/>
              </w:rPr>
              <w:t>Cui</w:t>
            </w:r>
            <w:r>
              <w:rPr>
                <w:vertAlign w:val="superscript"/>
              </w:rPr>
              <w:t>1,2</w:t>
            </w:r>
            <w:r>
              <w:t xml:space="preserve">, </w:t>
            </w:r>
            <w:r>
              <w:rPr>
                <w:rFonts w:hint="eastAsia" w:eastAsia="宋体"/>
                <w:lang w:val="en-US" w:eastAsia="zh-CN"/>
              </w:rPr>
              <w:t>Rusheng Wang</w:t>
            </w:r>
            <w:r>
              <w:rPr>
                <w:vertAlign w:val="superscript"/>
              </w:rPr>
              <w:t>1,2</w:t>
            </w:r>
            <w:r>
              <w:t xml:space="preserve">, </w:t>
            </w:r>
            <w:r>
              <w:rPr>
                <w:rFonts w:hint="eastAsia" w:eastAsia="宋体"/>
                <w:lang w:val="en-US" w:eastAsia="zh-CN"/>
              </w:rPr>
              <w:t>Xinyu</w:t>
            </w:r>
            <w:r>
              <w:t xml:space="preserve"> </w:t>
            </w:r>
            <w:r>
              <w:rPr>
                <w:rFonts w:hint="eastAsia" w:eastAsia="宋体"/>
                <w:lang w:val="en-US" w:eastAsia="zh-CN"/>
              </w:rPr>
              <w:t>Lv</w:t>
            </w:r>
            <w:r>
              <w:rPr>
                <w:vertAlign w:val="superscript"/>
              </w:rPr>
              <w:t>1,2</w:t>
            </w:r>
            <w:r>
              <w:t>,</w:t>
            </w:r>
            <w:r>
              <w:rPr>
                <w:rFonts w:hint="eastAsia" w:eastAsia="宋体"/>
                <w:lang w:val="en-US" w:eastAsia="zh-CN"/>
              </w:rPr>
              <w:t xml:space="preserve"> Siqi Hong</w:t>
            </w:r>
            <w:r>
              <w:rPr>
                <w:vertAlign w:val="superscript"/>
              </w:rPr>
              <w:t>1,2</w:t>
            </w:r>
            <w:r>
              <w:t xml:space="preserve">, </w:t>
            </w:r>
            <w:r>
              <w:rPr>
                <w:rFonts w:hint="eastAsia" w:eastAsia="宋体"/>
                <w:lang w:val="en-US" w:eastAsia="zh-CN"/>
              </w:rPr>
              <w:t>Guigang Tu</w:t>
            </w:r>
            <w:r>
              <w:rPr>
                <w:vertAlign w:val="superscript"/>
              </w:rPr>
              <w:t>1,2</w:t>
            </w:r>
            <w:r>
              <w:t>, Pavel Talalay</w:t>
            </w:r>
            <w:r>
              <w:rPr>
                <w:vertAlign w:val="superscript"/>
              </w:rPr>
              <w:t>1,2</w:t>
            </w:r>
            <w:r>
              <w:t>, Xiaopeng Fan</w:t>
            </w:r>
            <w:r>
              <w:rPr>
                <w:vertAlign w:val="superscript"/>
              </w:rPr>
              <w:t>1,2</w:t>
            </w:r>
            <w:r>
              <w:t>, Da Gong</w:t>
            </w:r>
            <w:r>
              <w:rPr>
                <w:vertAlign w:val="superscript"/>
              </w:rPr>
              <w:t>1,2</w:t>
            </w:r>
            <w:r>
              <w:t xml:space="preserve"> </w:t>
            </w:r>
          </w:p>
        </w:tc>
        <w:tc>
          <w:tcPr>
            <w:tcW w:w="4533" w:type="dxa"/>
            <w:shd w:val="clear" w:color="auto" w:fill="auto"/>
          </w:tcPr>
          <w:p w14:paraId="3B450943">
            <w:pPr>
              <w:pStyle w:val="36"/>
            </w:pPr>
            <w:r>
              <w:rPr>
                <w:vertAlign w:val="superscript"/>
              </w:rPr>
              <w:t>1</w:t>
            </w:r>
            <w:r>
              <w:rPr>
                <w:rFonts w:hint="eastAsia" w:eastAsia="宋体"/>
                <w:lang w:val="en-US" w:eastAsia="zh-CN"/>
              </w:rPr>
              <w:t>College of Construction Engineering</w:t>
            </w:r>
            <w:r>
              <w:t>, Jilin University, Changchun, China</w:t>
            </w:r>
          </w:p>
          <w:p w14:paraId="37CA570F">
            <w:pPr>
              <w:pStyle w:val="36"/>
            </w:pPr>
            <w:r>
              <w:rPr>
                <w:vertAlign w:val="superscript"/>
              </w:rPr>
              <w:t>2</w:t>
            </w:r>
            <w:r>
              <w:t>Polar Research Center, Institute for Polar Science and Engineering, Jilin University, Changchun, China</w:t>
            </w:r>
          </w:p>
        </w:tc>
      </w:tr>
    </w:tbl>
    <w:p w14:paraId="2E96FAF6">
      <w:pPr>
        <w:pStyle w:val="3"/>
      </w:pPr>
    </w:p>
    <w:p w14:paraId="3B3BFDA1">
      <w:pPr>
        <w:pStyle w:val="3"/>
      </w:pPr>
      <w:r>
        <w:rPr>
          <w:rFonts w:hint="eastAsia"/>
        </w:rPr>
        <w:t>In the field of polar research, acquiring bedrock samples from beneath polar ice sheets</w:t>
      </w:r>
      <w:r>
        <w:rPr>
          <w:rFonts w:hint="eastAsia" w:eastAsia="宋体"/>
          <w:lang w:val="en-US" w:eastAsia="zh-CN"/>
        </w:rPr>
        <w:t xml:space="preserve"> </w:t>
      </w:r>
      <w:r>
        <w:rPr>
          <w:rFonts w:hint="eastAsia"/>
        </w:rPr>
        <w:t>is of great significance for reconstructing ancient climates, exploring ancient life, and studying subglacial</w:t>
      </w:r>
      <w:r>
        <w:rPr>
          <w:rFonts w:hint="eastAsia" w:eastAsia="宋体"/>
          <w:lang w:val="en-US" w:eastAsia="zh-CN"/>
        </w:rPr>
        <w:t xml:space="preserve"> </w:t>
      </w:r>
      <w:r>
        <w:rPr>
          <w:rFonts w:hint="eastAsia"/>
        </w:rPr>
        <w:t>geological structures, among other related applications.</w:t>
      </w:r>
      <w:r>
        <w:rPr>
          <w:rFonts w:hint="eastAsia" w:eastAsia="宋体"/>
          <w:lang w:val="en-US" w:eastAsia="zh-CN"/>
        </w:rPr>
        <w:t xml:space="preserve"> </w:t>
      </w:r>
      <w:r>
        <w:rPr>
          <w:rFonts w:hint="eastAsia"/>
        </w:rPr>
        <w:t>However, subglacial bedrock core drilling is extremely challenging, and to date, there have been few successful cases, with insufficient subglacial bedrock samples obtained. In comparison with conventional rock core drilling methods, hydraulic reverse circulation continuous coring offers significant advantages. To ensure its successful implementation, rock core breaking is a critical issue.</w:t>
      </w:r>
    </w:p>
    <w:p w14:paraId="505AD9B8">
      <w:pPr>
        <w:pStyle w:val="3"/>
      </w:pPr>
      <w:r>
        <w:rPr>
          <w:rFonts w:hint="eastAsia"/>
        </w:rPr>
        <w:t>This research systematically investigates the synergistic effects of splitter angle, core diameter, and core length on the breaking force of subglacial bedrock cores during hydraulic reverse circulation continuous coring. A multi-factor coupling model was established based on elastic mechanics and the maximum tensile stress theory, decomposing the breaking force into radial and axial components. The model accounts for the combined effects of bending moment and eccentric compression at the critical cross-section of the rock core, where tensile stress from F</w:t>
      </w:r>
      <w:r>
        <w:rPr>
          <w:rFonts w:hint="eastAsia"/>
          <w:vertAlign w:val="subscript"/>
        </w:rPr>
        <w:t>x</w:t>
      </w:r>
      <w:r>
        <w:rPr>
          <w:rFonts w:hint="eastAsia"/>
        </w:rPr>
        <w:t xml:space="preserve"> and compressive/bending stress from F</w:t>
      </w:r>
      <w:r>
        <w:rPr>
          <w:rFonts w:hint="eastAsia"/>
          <w:vertAlign w:val="subscript"/>
        </w:rPr>
        <w:t>y</w:t>
      </w:r>
      <w:r>
        <w:rPr>
          <w:rFonts w:hint="eastAsia"/>
        </w:rPr>
        <w:t xml:space="preserve"> determine failure initiation. Nonlinear regression of experimental data revealed high goodness-of-fit for both radial and axial breaking forces, validating the theoretical framework. Fitting parameters showed consistent trends inversely proportional to the rock core</w:t>
      </w:r>
      <w:r>
        <w:rPr>
          <w:rFonts w:eastAsia="宋体"/>
          <w:lang w:val="en-US" w:eastAsia="zh-CN"/>
        </w:rPr>
        <w:t>’</w:t>
      </w:r>
      <w:r>
        <w:rPr>
          <w:rFonts w:hint="eastAsia"/>
        </w:rPr>
        <w:t>s ultimate stress, confirming the model</w:t>
      </w:r>
      <w:r>
        <w:rPr>
          <w:rFonts w:eastAsia="宋体"/>
          <w:lang w:val="en-US" w:eastAsia="zh-CN"/>
        </w:rPr>
        <w:t>’</w:t>
      </w:r>
      <w:r>
        <w:rPr>
          <w:rFonts w:hint="eastAsia"/>
        </w:rPr>
        <w:t xml:space="preserve">s accuracy in describing the dependency between geometric parameters and breaking force. The results of experimental validation and microstructural characterization show that: (1) As splitter angle increases, breaking force exhibits a non-linear upward trend due to reduced radial bending stress and increased axial compressive stress. Smaller angles promote radial tensile cracking, while larger angles shift the failure mode to mixed-mode (tensile-shear) cracking, requiring higher F to overcome frictional resistance and stress concentration at mineral interfaces. Microstructural analysis via polarizing microscopy showed that mineral grain interfaces act as preferential crack nucleation sites, aligning with theoretical predictions of stress concentration effects. (2) The core diameter demonstrates a positive correlation with radial and axial breaking forces, primarily governed by geometric size effects. Radial breaking follows flexural mechanics. Axial failure originates from combined shear-tensile stress, showing nonlinear enhancement in load threshold through section modulus and moment of inertia. Smaller diameters favor low-energy fracture propagation along mineral interfaces, while larger diameters override interface density effects through geometric superiority. Material strength degradation rates remain negligible compared to the core diameter-driven geometric reinforcement, ensuring geometric mechanisms predominantly govern failure thresholds. (3) The core length exhibits a negative correlation with radial and axial breaking forces, governed also by three mechanisms: Mechanical leverage, </w:t>
      </w:r>
      <w:r>
        <w:rPr>
          <w:rFonts w:hint="eastAsia" w:eastAsia="宋体"/>
          <w:lang w:val="en-US" w:eastAsia="zh-CN"/>
        </w:rPr>
        <w:t>e</w:t>
      </w:r>
      <w:r>
        <w:rPr>
          <w:rFonts w:hint="eastAsia"/>
        </w:rPr>
        <w:t>ccentric compression and microstructural effects. Increased moment arm in longer rock cores reduces the peak force required for crack initiation via enhanced bending moment. Stress superposition in extended rock cores promotes mixed-mode (tensile-shear) fracture propagation while lowering failure energy thresholds. Mineral heterogeneity amplified by length scales synergistically degrades material ultimate strength through combined mechanical leverage and microstructural weakening. (4) Polarizing microscopy revealed that the material ultimate stress is influenced by mineral composition and grain interfaces in the breaking section. Quartz-rich regions exhibited higher due to their rigid stress-bearing framework, while biotite-rich interfaces, characterized by low shear strength, acted as weak points reducing critical stress thresholds. This microscale insight validated the inverse proportionality between fitting coefficients and the material ultimate stress, bridging macroscopic mechanical behavior with microscopic failure mechanisms.</w:t>
      </w:r>
    </w:p>
    <w:p w14:paraId="1C5F1A4D">
      <w:pPr>
        <w:pStyle w:val="3"/>
        <w:rPr>
          <w:lang w:val="en-US"/>
        </w:rPr>
      </w:pPr>
      <w:r>
        <w:rPr>
          <w:rFonts w:hint="eastAsia"/>
        </w:rPr>
        <w:t xml:space="preserve">In conclusion, this research bridges theoretical modeling with experimental and microstructural analysis, clarifying the subglacial rock core breaking mechanism. The findings provide a theoretical basis for designing reliable, efficient hydraulic reverse circulation continuous coring drilling tools </w:t>
      </w:r>
      <w:r>
        <w:rPr>
          <w:rFonts w:hint="eastAsia" w:eastAsia="宋体"/>
          <w:lang w:val="en-US" w:eastAsia="zh-CN"/>
        </w:rPr>
        <w:t xml:space="preserve">that are </w:t>
      </w:r>
      <w:r>
        <w:rPr>
          <w:rFonts w:hint="eastAsia"/>
        </w:rPr>
        <w:t>suitable for polar extreme and complex conditions, addressing critical challenges in subglacial bedrock core drilling. It paves the way for establishing systematic, standardized coring theories in extreme environments, as well as achieving technological breakthroughs in "automatic isometric rock core breaking</w:t>
      </w:r>
      <w:r>
        <w:rPr>
          <w:rFonts w:hint="eastAsia" w:eastAsia="宋体"/>
          <w:lang w:val="en-US" w:eastAsia="zh-CN"/>
        </w:rPr>
        <w:t xml:space="preserve"> during </w:t>
      </w:r>
      <w:r>
        <w:rPr>
          <w:rFonts w:hint="eastAsia"/>
        </w:rPr>
        <w:t>hydraulic reverse circulation continuous coring, enabling the acquisition of more and higher-quality subglacial bedrock cores".</w:t>
      </w:r>
    </w:p>
    <w:p w14:paraId="37C02DC0">
      <w:pPr>
        <w:pStyle w:val="3"/>
      </w:pPr>
    </w:p>
    <w:p w14:paraId="2FA9B830">
      <w:pPr>
        <w:pStyle w:val="35"/>
        <w:widowControl/>
        <w:suppressAutoHyphens/>
        <w:spacing w:after="60"/>
      </w:pPr>
      <w:r>
        <w:rPr>
          <w:rFonts w:ascii="Arial" w:hAnsi="Arial" w:eastAsiaTheme="minorEastAsia"/>
          <w:kern w:val="0"/>
          <w:sz w:val="22"/>
          <w:lang w:val="en-GB" w:eastAsia="ar-SA"/>
        </w:rPr>
        <w:t xml:space="preserve">References </w:t>
      </w:r>
    </w:p>
    <w:p w14:paraId="21492BFF">
      <w:pPr>
        <w:pStyle w:val="37"/>
        <w:rPr>
          <w:rFonts w:ascii="Arial" w:hAnsi="Arial"/>
          <w:color w:val="0000FF"/>
          <w:sz w:val="20"/>
          <w:szCs w:val="20"/>
          <w:lang w:val="en-US" w:eastAsia="zh-CN"/>
        </w:rPr>
      </w:pPr>
      <w:r>
        <w:rPr>
          <w:rFonts w:hint="eastAsia"/>
        </w:rPr>
        <w:t>Wang R, Lv X, Fan X, Gong D, Liu A (2024) Key parameters and mechanisms of ice cores autonomously breaking with air reverse-circulation drill systems. Cold Regions Science and Technology:104053.</w:t>
      </w:r>
      <w:r>
        <w:rPr>
          <w:rFonts w:hint="eastAsia" w:eastAsia="宋体"/>
          <w:lang w:val="en-US" w:eastAsia="zh-CN"/>
        </w:rPr>
        <w:t xml:space="preserve"> </w:t>
      </w:r>
      <w:r>
        <w:rPr>
          <w:rFonts w:hint="eastAsia" w:ascii="Arial" w:hAnsi="Arial"/>
          <w:color w:val="0000FF"/>
          <w:sz w:val="20"/>
          <w:szCs w:val="20"/>
          <w:lang w:val="en-US" w:eastAsia="zh-CN"/>
        </w:rPr>
        <w:t>https://doi.org/10.1016/j.coldregions.2023.104053</w:t>
      </w:r>
    </w:p>
    <w:p w14:paraId="64ED3924">
      <w:pPr>
        <w:pStyle w:val="64"/>
        <w:tabs>
          <w:tab w:val="left" w:pos="0"/>
        </w:tabs>
        <w:spacing w:after="60"/>
        <w:ind w:left="283" w:hanging="283"/>
      </w:pPr>
      <w:r>
        <w:rPr>
          <w:rFonts w:ascii="Arial" w:hAnsi="Arial"/>
          <w:sz w:val="20"/>
          <w:lang w:val="en-US" w:eastAsia="zh-CN"/>
        </w:rPr>
        <w:t>Wang</w:t>
      </w:r>
      <w:r>
        <w:rPr>
          <w:rFonts w:hint="eastAsia" w:ascii="Arial" w:hAnsi="Arial"/>
          <w:sz w:val="20"/>
          <w:lang w:val="en-US" w:eastAsia="zh-CN"/>
        </w:rPr>
        <w:t xml:space="preserve"> </w:t>
      </w:r>
      <w:r>
        <w:rPr>
          <w:rFonts w:ascii="Arial" w:hAnsi="Arial"/>
          <w:sz w:val="20"/>
          <w:lang w:val="en-US" w:eastAsia="zh-CN"/>
        </w:rPr>
        <w:t>R, Liu</w:t>
      </w:r>
      <w:r>
        <w:rPr>
          <w:rFonts w:hint="eastAsia" w:ascii="Arial" w:hAnsi="Arial"/>
          <w:sz w:val="20"/>
          <w:lang w:val="en-US" w:eastAsia="zh-CN"/>
        </w:rPr>
        <w:t xml:space="preserve"> </w:t>
      </w:r>
      <w:r>
        <w:rPr>
          <w:rFonts w:ascii="Arial" w:hAnsi="Arial"/>
          <w:sz w:val="20"/>
          <w:lang w:val="en-US" w:eastAsia="zh-CN"/>
        </w:rPr>
        <w:t xml:space="preserve">A, </w:t>
      </w:r>
      <w:r>
        <w:rPr>
          <w:rFonts w:hint="eastAsia" w:ascii="Arial" w:hAnsi="Arial"/>
          <w:sz w:val="20"/>
          <w:lang w:val="en-US" w:eastAsia="zh-CN"/>
        </w:rPr>
        <w:t xml:space="preserve">Cao </w:t>
      </w:r>
      <w:r>
        <w:rPr>
          <w:rFonts w:ascii="Arial" w:hAnsi="Arial"/>
          <w:sz w:val="20"/>
          <w:lang w:val="en-US" w:eastAsia="zh-CN"/>
        </w:rPr>
        <w:t xml:space="preserve">P, </w:t>
      </w:r>
      <w:r>
        <w:rPr>
          <w:rFonts w:hint="eastAsia" w:ascii="Arial" w:hAnsi="Arial"/>
          <w:sz w:val="20"/>
          <w:lang w:val="en-US" w:eastAsia="zh-CN"/>
        </w:rPr>
        <w:t xml:space="preserve">Chen B, Sysoev M, Fan D, </w:t>
      </w:r>
      <w:r>
        <w:rPr>
          <w:rFonts w:ascii="Arial" w:hAnsi="Arial"/>
          <w:sz w:val="20"/>
          <w:lang w:val="en-US" w:eastAsia="zh-CN"/>
        </w:rPr>
        <w:t>Talalay</w:t>
      </w:r>
      <w:r>
        <w:rPr>
          <w:rFonts w:hint="eastAsia" w:ascii="Arial" w:hAnsi="Arial"/>
          <w:sz w:val="20"/>
          <w:lang w:val="en-US" w:eastAsia="zh-CN"/>
        </w:rPr>
        <w:t xml:space="preserve"> </w:t>
      </w:r>
      <w:r>
        <w:rPr>
          <w:rFonts w:ascii="Arial" w:hAnsi="Arial"/>
          <w:sz w:val="20"/>
          <w:lang w:val="en-US" w:eastAsia="zh-CN"/>
        </w:rPr>
        <w:t>PG</w:t>
      </w:r>
      <w:bookmarkStart w:id="2" w:name="OLE_LINK171"/>
      <w:r>
        <w:rPr>
          <w:rFonts w:ascii="Arial" w:hAnsi="Arial"/>
          <w:sz w:val="20"/>
          <w:lang w:val="en-US" w:eastAsia="zh-CN"/>
        </w:rPr>
        <w:t xml:space="preserve"> </w:t>
      </w:r>
      <w:r>
        <w:rPr>
          <w:rFonts w:hint="eastAsia" w:ascii="Arial" w:hAnsi="Arial"/>
          <w:sz w:val="20"/>
          <w:lang w:val="en-US" w:eastAsia="zh-CN"/>
        </w:rPr>
        <w:t>(2017)</w:t>
      </w:r>
      <w:r>
        <w:rPr>
          <w:rFonts w:ascii="Arial" w:hAnsi="Arial"/>
          <w:sz w:val="20"/>
          <w:lang w:val="en-US" w:eastAsia="zh-CN"/>
        </w:rPr>
        <w:t xml:space="preserve"> </w:t>
      </w:r>
      <w:bookmarkEnd w:id="2"/>
      <w:r>
        <w:rPr>
          <w:rFonts w:ascii="Arial" w:hAnsi="Arial"/>
          <w:sz w:val="20"/>
          <w:lang w:val="en-US" w:eastAsia="zh-CN"/>
        </w:rPr>
        <w:fldChar w:fldCharType="begin"/>
      </w:r>
      <w:r>
        <w:rPr>
          <w:rFonts w:ascii="Arial" w:hAnsi="Arial"/>
          <w:sz w:val="20"/>
          <w:lang w:val="en-US" w:eastAsia="zh-CN"/>
        </w:rPr>
        <w:instrText xml:space="preserve"> HYPERLINK "https://webofscience.clarivate.cn/wos/alldb/full-record/WOS:000417043600003" </w:instrText>
      </w:r>
      <w:r>
        <w:rPr>
          <w:rFonts w:ascii="Arial" w:hAnsi="Arial"/>
          <w:sz w:val="20"/>
          <w:lang w:val="en-US" w:eastAsia="zh-CN"/>
        </w:rPr>
        <w:fldChar w:fldCharType="separate"/>
      </w:r>
      <w:r>
        <w:rPr>
          <w:rFonts w:ascii="Arial" w:hAnsi="Arial"/>
          <w:sz w:val="20"/>
          <w:lang w:val="en-US" w:eastAsia="zh-CN"/>
        </w:rPr>
        <w:t>Rapid ice drilling with continual air transport of cuttings and cores: General concept</w:t>
      </w:r>
      <w:r>
        <w:rPr>
          <w:rFonts w:ascii="Arial" w:hAnsi="Arial"/>
          <w:sz w:val="20"/>
          <w:lang w:val="en-US" w:eastAsia="zh-CN"/>
        </w:rPr>
        <w:fldChar w:fldCharType="end"/>
      </w:r>
      <w:r>
        <w:rPr>
          <w:rFonts w:ascii="Arial" w:hAnsi="Arial"/>
          <w:sz w:val="20"/>
          <w:lang w:val="en-US" w:eastAsia="zh-CN"/>
        </w:rPr>
        <w:t>. Polar Science</w:t>
      </w:r>
      <w:r>
        <w:rPr>
          <w:rFonts w:hint="eastAsia" w:ascii="Arial" w:hAnsi="Arial"/>
          <w:sz w:val="20"/>
          <w:lang w:val="en-US" w:eastAsia="zh-CN"/>
        </w:rPr>
        <w:t xml:space="preserve"> </w:t>
      </w:r>
      <w:r>
        <w:rPr>
          <w:rFonts w:ascii="Arial" w:hAnsi="Arial"/>
          <w:sz w:val="20"/>
          <w:lang w:val="en-US" w:eastAsia="zh-CN"/>
        </w:rPr>
        <w:t>14:21-29.</w:t>
      </w:r>
      <w:r>
        <w:rPr>
          <w:rFonts w:hint="eastAsia" w:ascii="Arial" w:hAnsi="Arial"/>
          <w:sz w:val="20"/>
          <w:lang w:val="en-US" w:eastAsia="zh-CN"/>
        </w:rPr>
        <w:t xml:space="preserve"> </w:t>
      </w:r>
      <w:r>
        <w:fldChar w:fldCharType="begin"/>
      </w:r>
      <w:r>
        <w:instrText xml:space="preserve"> HYPERLINK "https://doi.org/10.1016/j.polar.2017.09.004" \t "https://www.sciencedirect.com/science/article/pii/_blank" \o "Persistent link using digital object identifier" </w:instrText>
      </w:r>
      <w:r>
        <w:fldChar w:fldCharType="separate"/>
      </w:r>
      <w:r>
        <w:rPr>
          <w:rFonts w:ascii="Arial" w:hAnsi="Arial"/>
          <w:color w:val="0000FF"/>
          <w:sz w:val="20"/>
          <w:szCs w:val="20"/>
          <w:lang w:val="en-US" w:eastAsia="zh-CN"/>
        </w:rPr>
        <w:t>https://doi.org/10.1016/j.polar.2017.09.004</w:t>
      </w:r>
      <w:r>
        <w:rPr>
          <w:rFonts w:ascii="Arial" w:hAnsi="Arial"/>
          <w:color w:val="0000FF"/>
          <w:sz w:val="20"/>
          <w:szCs w:val="20"/>
          <w:lang w:val="en-US" w:eastAsia="zh-CN"/>
        </w:rPr>
        <w:fldChar w:fldCharType="end"/>
      </w:r>
    </w:p>
    <w:p w14:paraId="4FA04F39">
      <w:pPr>
        <w:pStyle w:val="37"/>
        <w:jc w:val="left"/>
      </w:pPr>
      <w:r>
        <w:rPr>
          <w:rFonts w:hint="eastAsia"/>
        </w:rPr>
        <w:t xml:space="preserve">Talalay PG, Li X, Zhang N, </w:t>
      </w:r>
      <w:r>
        <w:rPr>
          <w:rFonts w:hint="eastAsia" w:eastAsia="宋体"/>
          <w:lang w:val="en-US" w:eastAsia="zh-CN"/>
        </w:rPr>
        <w:t xml:space="preserve">Fan X, Sun Y, Cao P, Wang R, </w:t>
      </w:r>
      <w:r>
        <w:t xml:space="preserve">Yang Y, </w:t>
      </w:r>
      <w:r>
        <w:rPr>
          <w:rFonts w:hint="eastAsia" w:eastAsia="宋体"/>
          <w:lang w:val="en-US" w:eastAsia="zh-CN"/>
        </w:rPr>
        <w:t xml:space="preserve">Liu Y, Liu Y, Wu W, Yang C, </w:t>
      </w:r>
      <w:r>
        <w:t xml:space="preserve">Hong J, Gong D, </w:t>
      </w:r>
      <w:r>
        <w:rPr>
          <w:rFonts w:hint="eastAsia" w:eastAsia="宋体"/>
          <w:lang w:val="en-US" w:eastAsia="zh-CN"/>
        </w:rPr>
        <w:t>Zhang H, Li X, Chen Y, Liu A, Li Y</w:t>
      </w:r>
      <w:r>
        <w:rPr>
          <w:rFonts w:hint="eastAsia"/>
        </w:rPr>
        <w:t xml:space="preserve"> (2021) Antarctic subglacial drilling rig: Part II. Ice and Bedrock</w:t>
      </w:r>
      <w:r>
        <w:rPr>
          <w:rFonts w:hint="eastAsia" w:eastAsia="宋体"/>
          <w:lang w:val="en-US" w:eastAsia="zh-CN"/>
        </w:rPr>
        <w:t xml:space="preserve"> </w:t>
      </w:r>
      <w:r>
        <w:rPr>
          <w:rFonts w:hint="eastAsia"/>
        </w:rPr>
        <w:t>Electromechanical Drill (IBED). Annals of Glaciology 62(84):12-22.</w:t>
      </w:r>
      <w:r>
        <w:rPr>
          <w:rFonts w:hint="eastAsia" w:eastAsia="宋体"/>
          <w:lang w:val="en-US" w:eastAsia="zh-CN"/>
        </w:rPr>
        <w:t xml:space="preserve"> </w:t>
      </w:r>
      <w:r>
        <w:rPr>
          <w:rFonts w:ascii="Arial" w:hAnsi="Arial"/>
          <w:color w:val="0000FF"/>
          <w:sz w:val="20"/>
          <w:szCs w:val="20"/>
          <w:lang w:val="en-US" w:eastAsia="zh-CN"/>
        </w:rPr>
        <w:t>https://doi.org/10.1017/aog.2020.38</w:t>
      </w:r>
    </w:p>
    <w:p w14:paraId="6988F9D9">
      <w:pPr>
        <w:pStyle w:val="37"/>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701" w:left="1418" w:header="1140" w:footer="1418" w:gutter="0"/>
      <w:cols w:space="720" w:num="1"/>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horndale">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0000019F" w:csb1="00000000"/>
  </w:font>
  <w:font w:name="Arial Unicode MS">
    <w:altName w:val="宋体"/>
    <w:panose1 w:val="020B0604020202020204"/>
    <w:charset w:val="86"/>
    <w:family w:val="swiss"/>
    <w:pitch w:val="default"/>
    <w:sig w:usb0="00000000" w:usb1="00000000"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EA40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6"/>
      </w:rPr>
      <w:id w:val="1451902462"/>
    </w:sdtPr>
    <w:sdtEndPr>
      <w:rPr>
        <w:rStyle w:val="26"/>
      </w:rPr>
    </w:sdtEndPr>
    <w:sdtContent>
      <w:p w14:paraId="74341ED6">
        <w:pPr>
          <w:pStyle w:val="14"/>
          <w:framePr w:wrap="auto" w:vAnchor="text" w:hAnchor="margin" w:xAlign="center" w:y="1"/>
          <w:rPr>
            <w:rStyle w:val="26"/>
          </w:rPr>
        </w:pPr>
        <w:r>
          <w:rPr>
            <w:rStyle w:val="26"/>
          </w:rPr>
          <w:fldChar w:fldCharType="begin"/>
        </w:r>
        <w:r>
          <w:rPr>
            <w:rStyle w:val="26"/>
          </w:rPr>
          <w:instrText xml:space="preserve"> PAGE </w:instrText>
        </w:r>
        <w:r>
          <w:rPr>
            <w:rStyle w:val="26"/>
          </w:rPr>
          <w:fldChar w:fldCharType="end"/>
        </w:r>
      </w:p>
    </w:sdtContent>
  </w:sdt>
  <w:p w14:paraId="207670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E39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AE857">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59A">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8C0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
      <w:lvlText w:val="%1."/>
      <w:lvlJc w:val="left"/>
      <w:pPr>
        <w:tabs>
          <w:tab w:val="left" w:pos="0"/>
        </w:tabs>
        <w:ind w:left="851" w:hanging="851"/>
      </w:pPr>
    </w:lvl>
    <w:lvl w:ilvl="1" w:tentative="0">
      <w:start w:val="1"/>
      <w:numFmt w:val="decimal"/>
      <w:pStyle w:val="4"/>
      <w:lvlText w:val="%1.%2."/>
      <w:lvlJc w:val="left"/>
      <w:pPr>
        <w:tabs>
          <w:tab w:val="left" w:pos="0"/>
        </w:tabs>
        <w:ind w:left="792" w:hanging="432"/>
      </w:pPr>
    </w:lvl>
    <w:lvl w:ilvl="2" w:tentative="0">
      <w:start w:val="1"/>
      <w:numFmt w:val="none"/>
      <w:pStyle w:val="5"/>
      <w:suff w:val="nothing"/>
      <w:lvlText w:val=""/>
      <w:lvlJc w:val="left"/>
      <w:pPr>
        <w:tabs>
          <w:tab w:val="left" w:pos="720"/>
        </w:tabs>
        <w:ind w:left="720" w:hanging="720"/>
      </w:pPr>
    </w:lvl>
    <w:lvl w:ilvl="3" w:tentative="0">
      <w:start w:val="1"/>
      <w:numFmt w:val="none"/>
      <w:pStyle w:val="6"/>
      <w:suff w:val="nothing"/>
      <w:lvlText w:val=""/>
      <w:lvlJc w:val="left"/>
      <w:pPr>
        <w:tabs>
          <w:tab w:val="left" w:pos="864"/>
        </w:tabs>
        <w:ind w:left="864" w:hanging="864"/>
      </w:pPr>
    </w:lvl>
    <w:lvl w:ilvl="4" w:tentative="0">
      <w:start w:val="1"/>
      <w:numFmt w:val="none"/>
      <w:pStyle w:val="7"/>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pStyle w:val="9"/>
      <w:suff w:val="nothing"/>
      <w:lvlText w:val=""/>
      <w:lvlJc w:val="left"/>
      <w:pPr>
        <w:tabs>
          <w:tab w:val="left" w:pos="1296"/>
        </w:tabs>
        <w:ind w:left="1296" w:hanging="1296"/>
      </w:pPr>
    </w:lvl>
    <w:lvl w:ilvl="7" w:tentative="0">
      <w:start w:val="1"/>
      <w:numFmt w:val="none"/>
      <w:pStyle w:val="10"/>
      <w:suff w:val="nothing"/>
      <w:lvlText w:val=""/>
      <w:lvlJc w:val="left"/>
      <w:pPr>
        <w:tabs>
          <w:tab w:val="left" w:pos="1440"/>
        </w:tabs>
        <w:ind w:left="1440" w:hanging="1440"/>
      </w:pPr>
    </w:lvl>
    <w:lvl w:ilvl="8" w:tentative="0">
      <w:start w:val="1"/>
      <w:numFmt w:val="none"/>
      <w:pStyle w:val="11"/>
      <w:suff w:val="nothing"/>
      <w:lvlText w:val=""/>
      <w:lvlJc w:val="left"/>
      <w:pPr>
        <w:tabs>
          <w:tab w:val="left" w:pos="1584"/>
        </w:tabs>
        <w:ind w:left="1584" w:hanging="1584"/>
      </w:pPr>
    </w:lvl>
  </w:abstractNum>
  <w:abstractNum w:abstractNumId="1">
    <w:nsid w:val="08321CC9"/>
    <w:multiLevelType w:val="multilevel"/>
    <w:tmpl w:val="08321CC9"/>
    <w:lvl w:ilvl="0" w:tentative="0">
      <w:start w:val="1"/>
      <w:numFmt w:val="bullet"/>
      <w:pStyle w:val="43"/>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B6F7C1A"/>
    <w:multiLevelType w:val="multilevel"/>
    <w:tmpl w:val="5B6F7C1A"/>
    <w:lvl w:ilvl="0" w:tentative="0">
      <w:start w:val="1"/>
      <w:numFmt w:val="decimal"/>
      <w:pStyle w:val="42"/>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708"/>
  <w:hyphenationZone w:val="425"/>
  <w:drawingGridHorizontalSpacing w:val="0"/>
  <w:drawingGridVerticalSpacing w:val="0"/>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637E2"/>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96B43"/>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4BB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497D"/>
    <w:rsid w:val="00425CB6"/>
    <w:rsid w:val="00426048"/>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964AD"/>
    <w:rsid w:val="005A4577"/>
    <w:rsid w:val="005A4758"/>
    <w:rsid w:val="005A6183"/>
    <w:rsid w:val="005A6E89"/>
    <w:rsid w:val="005A7553"/>
    <w:rsid w:val="005B2285"/>
    <w:rsid w:val="005B397A"/>
    <w:rsid w:val="005B4C28"/>
    <w:rsid w:val="005B7103"/>
    <w:rsid w:val="005C0997"/>
    <w:rsid w:val="005C2271"/>
    <w:rsid w:val="005C2A95"/>
    <w:rsid w:val="005D6050"/>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569C0"/>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5A4A"/>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44DD"/>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216"/>
    <w:rsid w:val="00AD3D00"/>
    <w:rsid w:val="00AF086B"/>
    <w:rsid w:val="00AF1D13"/>
    <w:rsid w:val="00AF1ECC"/>
    <w:rsid w:val="00AF43F2"/>
    <w:rsid w:val="00AF6F99"/>
    <w:rsid w:val="00B01CFE"/>
    <w:rsid w:val="00B102EB"/>
    <w:rsid w:val="00B1030F"/>
    <w:rsid w:val="00B139CE"/>
    <w:rsid w:val="00B13ED8"/>
    <w:rsid w:val="00B17B3F"/>
    <w:rsid w:val="00B22768"/>
    <w:rsid w:val="00B22DCF"/>
    <w:rsid w:val="00B230E9"/>
    <w:rsid w:val="00B26A0A"/>
    <w:rsid w:val="00B279D4"/>
    <w:rsid w:val="00B34AAF"/>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26E"/>
    <w:rsid w:val="00C50FFF"/>
    <w:rsid w:val="00C53350"/>
    <w:rsid w:val="00C53D00"/>
    <w:rsid w:val="00C53EE9"/>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29D6"/>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3E24"/>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47"/>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 w:val="0BFA2561"/>
    <w:rsid w:val="217D1BCB"/>
    <w:rsid w:val="2B823E7A"/>
    <w:rsid w:val="367F2AA6"/>
    <w:rsid w:val="394D283B"/>
    <w:rsid w:val="44D36A2D"/>
    <w:rsid w:val="46352209"/>
    <w:rsid w:val="746304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de-DE" w:eastAsia="en-US" w:bidi="ar-SA"/>
    </w:rPr>
  </w:style>
  <w:style w:type="paragraph" w:styleId="2">
    <w:name w:val="heading 1"/>
    <w:basedOn w:val="3"/>
    <w:next w:val="1"/>
    <w:qFormat/>
    <w:uiPriority w:val="0"/>
    <w:pPr>
      <w:keepNext/>
      <w:keepLines/>
      <w:numPr>
        <w:ilvl w:val="0"/>
        <w:numId w:val="1"/>
      </w:numPr>
      <w:spacing w:before="480"/>
      <w:outlineLvl w:val="0"/>
    </w:pPr>
    <w:rPr>
      <w:rFonts w:ascii="Calibri" w:hAnsi="Calibri"/>
      <w:b/>
      <w:bCs/>
      <w:color w:val="345A8A"/>
      <w:sz w:val="32"/>
      <w:szCs w:val="32"/>
    </w:rPr>
  </w:style>
  <w:style w:type="paragraph" w:styleId="4">
    <w:name w:val="heading 2"/>
    <w:basedOn w:val="1"/>
    <w:next w:val="1"/>
    <w:qFormat/>
    <w:uiPriority w:val="0"/>
    <w:pPr>
      <w:keepNext/>
      <w:widowControl w:val="0"/>
      <w:numPr>
        <w:ilvl w:val="1"/>
        <w:numId w:val="1"/>
      </w:numPr>
      <w:pBdr>
        <w:top w:val="single" w:color="FFFFFF" w:sz="6" w:space="0"/>
        <w:left w:val="single" w:color="FFFFFF" w:sz="6" w:space="0"/>
        <w:bottom w:val="single" w:color="FFFFFF" w:sz="6" w:space="0"/>
        <w:right w:val="single" w:color="FFFFFF" w:sz="6" w:space="0"/>
      </w:pBdr>
      <w:tabs>
        <w:tab w:val="left" w:pos="851"/>
      </w:tabs>
      <w:spacing w:after="120"/>
      <w:ind w:left="0" w:right="680" w:firstLine="0"/>
      <w:jc w:val="both"/>
      <w:outlineLvl w:val="1"/>
    </w:pPr>
    <w:rPr>
      <w:rFonts w:ascii="Arial" w:hAnsi="Arial"/>
      <w:b/>
      <w:sz w:val="22"/>
      <w:szCs w:val="20"/>
      <w:lang w:val="en-GB" w:eastAsia="ar-SA"/>
    </w:rPr>
  </w:style>
  <w:style w:type="paragraph" w:styleId="5">
    <w:name w:val="heading 3"/>
    <w:basedOn w:val="1"/>
    <w:next w:val="1"/>
    <w:qFormat/>
    <w:uiPriority w:val="0"/>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6">
    <w:name w:val="heading 4"/>
    <w:basedOn w:val="1"/>
    <w:next w:val="1"/>
    <w:qFormat/>
    <w:uiPriority w:val="0"/>
    <w:pPr>
      <w:keepNext/>
      <w:numPr>
        <w:ilvl w:val="3"/>
        <w:numId w:val="1"/>
      </w:numPr>
      <w:spacing w:after="60"/>
      <w:jc w:val="both"/>
      <w:outlineLvl w:val="3"/>
    </w:pPr>
    <w:rPr>
      <w:rFonts w:ascii="Arial" w:hAnsi="Arial"/>
      <w:b/>
      <w:sz w:val="22"/>
      <w:szCs w:val="20"/>
      <w:lang w:val="en-GB" w:eastAsia="ar-SA"/>
    </w:rPr>
  </w:style>
  <w:style w:type="paragraph" w:styleId="7">
    <w:name w:val="heading 5"/>
    <w:basedOn w:val="1"/>
    <w:next w:val="1"/>
    <w:qFormat/>
    <w:uiPriority w:val="0"/>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8">
    <w:name w:val="heading 6"/>
    <w:basedOn w:val="1"/>
    <w:next w:val="1"/>
    <w:qFormat/>
    <w:uiPriority w:val="0"/>
    <w:pPr>
      <w:keepNext/>
      <w:widowControl w:val="0"/>
      <w:tabs>
        <w:tab w:val="left"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9">
    <w:name w:val="heading 7"/>
    <w:basedOn w:val="1"/>
    <w:next w:val="1"/>
    <w:qFormat/>
    <w:uiPriority w:val="0"/>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10">
    <w:name w:val="heading 8"/>
    <w:basedOn w:val="1"/>
    <w:next w:val="1"/>
    <w:qFormat/>
    <w:uiPriority w:val="0"/>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11">
    <w:name w:val="heading 9"/>
    <w:basedOn w:val="1"/>
    <w:next w:val="1"/>
    <w:qFormat/>
    <w:uiPriority w:val="0"/>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3">
    <w:name w:val="AWI-Standard"/>
    <w:link w:val="67"/>
    <w:qFormat/>
    <w:uiPriority w:val="99"/>
    <w:pPr>
      <w:suppressAutoHyphens/>
      <w:spacing w:after="60"/>
      <w:jc w:val="both"/>
    </w:pPr>
    <w:rPr>
      <w:rFonts w:ascii="Arial" w:hAnsi="Arial" w:eastAsia="Times New Roman" w:cs="Times New Roman"/>
      <w:sz w:val="22"/>
      <w:lang w:val="en-GB" w:eastAsia="ar-SA" w:bidi="ar-SA"/>
    </w:rPr>
  </w:style>
  <w:style w:type="paragraph" w:styleId="12">
    <w:name w:val="annotation text"/>
    <w:basedOn w:val="1"/>
    <w:link w:val="48"/>
    <w:semiHidden/>
    <w:unhideWhenUsed/>
    <w:qFormat/>
    <w:uiPriority w:val="99"/>
    <w:rPr>
      <w:sz w:val="20"/>
      <w:szCs w:val="20"/>
    </w:rPr>
  </w:style>
  <w:style w:type="paragraph" w:styleId="13">
    <w:name w:val="Balloon Text"/>
    <w:basedOn w:val="1"/>
    <w:link w:val="69"/>
    <w:semiHidden/>
    <w:unhideWhenUsed/>
    <w:qFormat/>
    <w:uiPriority w:val="99"/>
    <w:rPr>
      <w:rFonts w:ascii="Segoe UI" w:hAnsi="Segoe UI" w:cs="Segoe UI"/>
      <w:sz w:val="18"/>
      <w:szCs w:val="18"/>
    </w:rPr>
  </w:style>
  <w:style w:type="paragraph" w:styleId="14">
    <w:name w:val="footer"/>
    <w:basedOn w:val="1"/>
    <w:link w:val="49"/>
    <w:unhideWhenUsed/>
    <w:qFormat/>
    <w:uiPriority w:val="99"/>
    <w:pPr>
      <w:tabs>
        <w:tab w:val="center" w:pos="4680"/>
        <w:tab w:val="right" w:pos="9360"/>
      </w:tabs>
    </w:pPr>
  </w:style>
  <w:style w:type="paragraph" w:styleId="15">
    <w:name w:val="header"/>
    <w:basedOn w:val="1"/>
    <w:link w:val="51"/>
    <w:unhideWhenUsed/>
    <w:qFormat/>
    <w:uiPriority w:val="99"/>
    <w:pPr>
      <w:tabs>
        <w:tab w:val="center" w:pos="4680"/>
        <w:tab w:val="right" w:pos="9360"/>
      </w:tabs>
    </w:pPr>
  </w:style>
  <w:style w:type="paragraph" w:styleId="16">
    <w:name w:val="toc 1"/>
    <w:basedOn w:val="1"/>
    <w:next w:val="1"/>
    <w:autoRedefine/>
    <w:unhideWhenUsed/>
    <w:qFormat/>
    <w:uiPriority w:val="39"/>
    <w:pPr>
      <w:spacing w:after="100"/>
    </w:pPr>
  </w:style>
  <w:style w:type="paragraph" w:styleId="17">
    <w:name w:val="Subtitle"/>
    <w:basedOn w:val="1"/>
    <w:next w:val="1"/>
    <w:link w:val="54"/>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18">
    <w:name w:val="toc 2"/>
    <w:basedOn w:val="1"/>
    <w:next w:val="1"/>
    <w:autoRedefine/>
    <w:unhideWhenUsed/>
    <w:qFormat/>
    <w:uiPriority w:val="39"/>
    <w:pPr>
      <w:spacing w:after="100"/>
      <w:ind w:left="240"/>
    </w:pPr>
  </w:style>
  <w:style w:type="paragraph" w:styleId="19">
    <w:name w:val="Normal (Web)"/>
    <w:basedOn w:val="1"/>
    <w:semiHidden/>
    <w:unhideWhenUsed/>
    <w:uiPriority w:val="99"/>
    <w:pPr>
      <w:spacing w:before="100" w:beforeAutospacing="1" w:after="100" w:afterAutospacing="1"/>
    </w:pPr>
  </w:style>
  <w:style w:type="paragraph" w:styleId="20">
    <w:name w:val="Title"/>
    <w:basedOn w:val="1"/>
    <w:next w:val="1"/>
    <w:link w:val="53"/>
    <w:uiPriority w:val="10"/>
    <w:pPr>
      <w:contextualSpacing/>
    </w:pPr>
    <w:rPr>
      <w:rFonts w:asciiTheme="majorHAnsi" w:hAnsiTheme="majorHAnsi" w:eastAsiaTheme="majorEastAsia" w:cstheme="majorBidi"/>
      <w:spacing w:val="-10"/>
      <w:kern w:val="28"/>
      <w:sz w:val="56"/>
      <w:szCs w:val="56"/>
    </w:rPr>
  </w:style>
  <w:style w:type="paragraph" w:styleId="21">
    <w:name w:val="annotation subject"/>
    <w:basedOn w:val="12"/>
    <w:next w:val="12"/>
    <w:link w:val="72"/>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basedOn w:val="24"/>
    <w:semiHidden/>
    <w:unhideWhenUsed/>
    <w:uiPriority w:val="99"/>
  </w:style>
  <w:style w:type="character" w:styleId="27">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8">
    <w:name w:val="Emphasis"/>
    <w:basedOn w:val="24"/>
    <w:qFormat/>
    <w:uiPriority w:val="20"/>
    <w:rPr>
      <w:i/>
      <w:iCs/>
    </w:rPr>
  </w:style>
  <w:style w:type="character" w:styleId="29">
    <w:name w:val="Hyperlink"/>
    <w:basedOn w:val="24"/>
    <w:qFormat/>
    <w:uiPriority w:val="99"/>
    <w:rPr>
      <w:color w:val="0000FF"/>
      <w:u w:val="single"/>
    </w:rPr>
  </w:style>
  <w:style w:type="character" w:styleId="30">
    <w:name w:val="annotation reference"/>
    <w:basedOn w:val="24"/>
    <w:semiHidden/>
    <w:unhideWhenUsed/>
    <w:qFormat/>
    <w:uiPriority w:val="99"/>
    <w:rPr>
      <w:sz w:val="16"/>
      <w:szCs w:val="16"/>
    </w:rPr>
  </w:style>
  <w:style w:type="paragraph" w:customStyle="1" w:styleId="31">
    <w:name w:val="AWI-Standard15FZ"/>
    <w:basedOn w:val="1"/>
    <w:qFormat/>
    <w:uiPriority w:val="0"/>
    <w:pPr>
      <w:tabs>
        <w:tab w:val="left" w:pos="851"/>
      </w:tabs>
      <w:suppressAutoHyphens/>
      <w:spacing w:after="60"/>
      <w:jc w:val="center"/>
    </w:pPr>
    <w:rPr>
      <w:rFonts w:ascii="Arial" w:hAnsi="Arial"/>
      <w:b/>
      <w:sz w:val="30"/>
      <w:szCs w:val="20"/>
      <w:lang w:val="en-GB" w:eastAsia="ar-SA"/>
    </w:rPr>
  </w:style>
  <w:style w:type="paragraph" w:customStyle="1" w:styleId="32">
    <w:name w:val="AWI-Heading1"/>
    <w:basedOn w:val="2"/>
    <w:next w:val="3"/>
    <w:qFormat/>
    <w:uiPriority w:val="0"/>
    <w:pPr>
      <w:numPr>
        <w:numId w:val="0"/>
      </w:numPr>
      <w:spacing w:before="1200" w:after="120"/>
      <w:jc w:val="left"/>
    </w:pPr>
    <w:rPr>
      <w:rFonts w:ascii="Arial" w:hAnsi="Arial"/>
      <w:caps/>
      <w:color w:val="00000A"/>
      <w:sz w:val="28"/>
    </w:rPr>
  </w:style>
  <w:style w:type="paragraph" w:customStyle="1" w:styleId="33">
    <w:name w:val="AWi-Heading2"/>
    <w:basedOn w:val="32"/>
    <w:next w:val="3"/>
    <w:qFormat/>
    <w:uiPriority w:val="0"/>
    <w:pPr>
      <w:spacing w:before="120"/>
    </w:pPr>
    <w:rPr>
      <w:bCs w:val="0"/>
      <w:caps w:val="0"/>
      <w:sz w:val="24"/>
    </w:rPr>
  </w:style>
  <w:style w:type="paragraph" w:customStyle="1" w:styleId="34">
    <w:name w:val="AWI-Heading3"/>
    <w:basedOn w:val="3"/>
    <w:next w:val="1"/>
    <w:qFormat/>
    <w:uiPriority w:val="0"/>
    <w:pPr>
      <w:keepNext/>
      <w:keepLines/>
      <w:spacing w:before="120"/>
      <w:ind w:right="454"/>
      <w:jc w:val="left"/>
    </w:pPr>
    <w:rPr>
      <w:b/>
      <w:bCs/>
      <w:szCs w:val="32"/>
    </w:rPr>
  </w:style>
  <w:style w:type="paragraph" w:customStyle="1" w:styleId="35">
    <w:name w:val="AWI-Heading4"/>
    <w:basedOn w:val="3"/>
    <w:next w:val="1"/>
    <w:qFormat/>
    <w:uiPriority w:val="0"/>
    <w:pPr>
      <w:keepNext/>
      <w:keepLines/>
      <w:spacing w:before="120"/>
      <w:ind w:right="454"/>
      <w:jc w:val="left"/>
    </w:pPr>
    <w:rPr>
      <w:b/>
      <w:bCs/>
      <w:szCs w:val="32"/>
    </w:rPr>
  </w:style>
  <w:style w:type="paragraph" w:customStyle="1" w:styleId="36">
    <w:name w:val="AWI-Participants"/>
    <w:basedOn w:val="3"/>
    <w:qFormat/>
    <w:uiPriority w:val="0"/>
    <w:pPr>
      <w:ind w:left="624"/>
      <w:jc w:val="left"/>
    </w:pPr>
    <w:rPr>
      <w:i/>
    </w:rPr>
  </w:style>
  <w:style w:type="paragraph" w:customStyle="1" w:styleId="37">
    <w:name w:val="AWI-References"/>
    <w:basedOn w:val="3"/>
    <w:qFormat/>
    <w:uiPriority w:val="0"/>
    <w:pPr>
      <w:ind w:left="284" w:hanging="284"/>
    </w:pPr>
    <w:rPr>
      <w:sz w:val="20"/>
    </w:rPr>
  </w:style>
  <w:style w:type="paragraph" w:customStyle="1" w:styleId="38">
    <w:name w:val="AWI-Captions"/>
    <w:basedOn w:val="3"/>
    <w:qFormat/>
    <w:uiPriority w:val="0"/>
    <w:pPr>
      <w:jc w:val="center"/>
    </w:pPr>
    <w:rPr>
      <w:i/>
      <w:sz w:val="20"/>
    </w:rPr>
  </w:style>
  <w:style w:type="paragraph" w:customStyle="1" w:styleId="39">
    <w:name w:val="AWI-Table Header"/>
    <w:basedOn w:val="3"/>
    <w:qFormat/>
    <w:uiPriority w:val="0"/>
    <w:pPr>
      <w:jc w:val="left"/>
    </w:pPr>
    <w:rPr>
      <w:rFonts w:eastAsia="Times"/>
      <w:b/>
      <w:sz w:val="20"/>
    </w:rPr>
  </w:style>
  <w:style w:type="paragraph" w:customStyle="1" w:styleId="40">
    <w:name w:val="AWI-Verzeichnis1"/>
    <w:basedOn w:val="1"/>
    <w:uiPriority w:val="0"/>
    <w:pPr>
      <w:tabs>
        <w:tab w:val="left" w:pos="567"/>
        <w:tab w:val="left" w:pos="8505"/>
      </w:tabs>
      <w:suppressAutoHyphens/>
      <w:spacing w:after="100"/>
      <w:ind w:right="1304"/>
    </w:pPr>
    <w:rPr>
      <w:rFonts w:ascii="Arial" w:hAnsi="Arial"/>
      <w:b/>
      <w:sz w:val="22"/>
      <w:szCs w:val="20"/>
      <w:lang w:val="en-GB" w:eastAsia="ar-SA"/>
    </w:rPr>
  </w:style>
  <w:style w:type="paragraph" w:customStyle="1" w:styleId="41">
    <w:name w:val="AWI-Verzeichnis2"/>
    <w:basedOn w:val="40"/>
    <w:uiPriority w:val="0"/>
    <w:pPr>
      <w:ind w:left="567"/>
    </w:pPr>
    <w:rPr>
      <w:sz w:val="20"/>
    </w:rPr>
  </w:style>
  <w:style w:type="paragraph" w:customStyle="1" w:styleId="42">
    <w:name w:val="AWI-ListNumbers"/>
    <w:basedOn w:val="3"/>
    <w:qFormat/>
    <w:uiPriority w:val="0"/>
    <w:pPr>
      <w:numPr>
        <w:ilvl w:val="0"/>
        <w:numId w:val="2"/>
      </w:numPr>
      <w:tabs>
        <w:tab w:val="left" w:pos="0"/>
      </w:tabs>
      <w:outlineLvl w:val="0"/>
    </w:pPr>
  </w:style>
  <w:style w:type="paragraph" w:customStyle="1" w:styleId="43">
    <w:name w:val="AWI-ListDots"/>
    <w:basedOn w:val="42"/>
    <w:qFormat/>
    <w:uiPriority w:val="0"/>
    <w:pPr>
      <w:numPr>
        <w:ilvl w:val="0"/>
        <w:numId w:val="3"/>
      </w:numPr>
    </w:pPr>
  </w:style>
  <w:style w:type="paragraph" w:customStyle="1" w:styleId="44">
    <w:name w:val="AWI-Heading1withoutNo"/>
    <w:basedOn w:val="32"/>
    <w:next w:val="3"/>
    <w:qFormat/>
    <w:uiPriority w:val="0"/>
    <w:pPr>
      <w:ind w:left="851" w:hanging="851"/>
    </w:pPr>
  </w:style>
  <w:style w:type="paragraph" w:customStyle="1" w:styleId="45">
    <w:name w:val="AWI-Heading5"/>
    <w:basedOn w:val="3"/>
    <w:qFormat/>
    <w:uiPriority w:val="0"/>
    <w:pPr>
      <w:spacing w:before="120" w:after="120"/>
      <w:jc w:val="left"/>
    </w:pPr>
    <w:rPr>
      <w:i/>
    </w:rPr>
  </w:style>
  <w:style w:type="paragraph" w:customStyle="1" w:styleId="46">
    <w:name w:val="AWI-Teacher 11 pt"/>
    <w:basedOn w:val="3"/>
    <w:uiPriority w:val="0"/>
    <w:rPr>
      <w:color w:val="4472C4" w:themeColor="accent1"/>
      <w14:textFill>
        <w14:solidFill>
          <w14:schemeClr w14:val="accent1"/>
        </w14:solidFill>
      </w14:textFill>
    </w:rPr>
  </w:style>
  <w:style w:type="paragraph" w:customStyle="1" w:styleId="47">
    <w:name w:val="修订1"/>
    <w:hidden/>
    <w:semiHidden/>
    <w:qFormat/>
    <w:uiPriority w:val="99"/>
    <w:rPr>
      <w:rFonts w:ascii="Arial" w:hAnsi="Arial" w:eastAsia="Times New Roman" w:cs="Times New Roman"/>
      <w:sz w:val="22"/>
      <w:lang w:val="en-GB" w:eastAsia="ar-SA" w:bidi="ar-SA"/>
    </w:rPr>
  </w:style>
  <w:style w:type="character" w:customStyle="1" w:styleId="48">
    <w:name w:val="批注文字 字符"/>
    <w:basedOn w:val="24"/>
    <w:link w:val="12"/>
    <w:semiHidden/>
    <w:qFormat/>
    <w:uiPriority w:val="99"/>
    <w:rPr>
      <w:lang w:eastAsia="en-US"/>
    </w:rPr>
  </w:style>
  <w:style w:type="character" w:customStyle="1" w:styleId="49">
    <w:name w:val="页脚 字符"/>
    <w:basedOn w:val="24"/>
    <w:link w:val="14"/>
    <w:qFormat/>
    <w:uiPriority w:val="99"/>
    <w:rPr>
      <w:sz w:val="24"/>
      <w:szCs w:val="24"/>
      <w:lang w:eastAsia="en-US"/>
    </w:rPr>
  </w:style>
  <w:style w:type="character" w:customStyle="1" w:styleId="50">
    <w:name w:val="Nicht aufgelöste Erwähnung1"/>
    <w:basedOn w:val="24"/>
    <w:semiHidden/>
    <w:unhideWhenUsed/>
    <w:qFormat/>
    <w:uiPriority w:val="99"/>
    <w:rPr>
      <w:color w:val="605E5C"/>
      <w:shd w:val="clear" w:color="auto" w:fill="E1DFDD"/>
    </w:rPr>
  </w:style>
  <w:style w:type="character" w:customStyle="1" w:styleId="51">
    <w:name w:val="页眉 字符"/>
    <w:basedOn w:val="24"/>
    <w:link w:val="15"/>
    <w:qFormat/>
    <w:uiPriority w:val="99"/>
    <w:rPr>
      <w:sz w:val="24"/>
      <w:szCs w:val="24"/>
      <w:lang w:eastAsia="en-US"/>
    </w:rPr>
  </w:style>
  <w:style w:type="paragraph" w:styleId="52">
    <w:name w:val="No Spacing"/>
    <w:qFormat/>
    <w:uiPriority w:val="1"/>
    <w:rPr>
      <w:rFonts w:ascii="Times New Roman" w:hAnsi="Times New Roman" w:eastAsia="Times New Roman" w:cs="Times New Roman"/>
      <w:sz w:val="24"/>
      <w:szCs w:val="24"/>
      <w:lang w:val="de-DE" w:eastAsia="en-US" w:bidi="ar-SA"/>
    </w:rPr>
  </w:style>
  <w:style w:type="character" w:customStyle="1" w:styleId="53">
    <w:name w:val="标题 字符"/>
    <w:basedOn w:val="24"/>
    <w:link w:val="20"/>
    <w:qFormat/>
    <w:uiPriority w:val="10"/>
    <w:rPr>
      <w:rFonts w:asciiTheme="majorHAnsi" w:hAnsiTheme="majorHAnsi" w:eastAsiaTheme="majorEastAsia" w:cstheme="majorBidi"/>
      <w:spacing w:val="-10"/>
      <w:kern w:val="28"/>
      <w:sz w:val="56"/>
      <w:szCs w:val="56"/>
      <w:lang w:eastAsia="en-US"/>
    </w:rPr>
  </w:style>
  <w:style w:type="character" w:customStyle="1" w:styleId="54">
    <w:name w:val="副标题 字符"/>
    <w:basedOn w:val="24"/>
    <w:link w:val="17"/>
    <w:qFormat/>
    <w:uiPriority w:val="11"/>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55">
    <w:name w:val="不明显强调1"/>
    <w:basedOn w:val="24"/>
    <w:qFormat/>
    <w:uiPriority w:val="19"/>
    <w:rPr>
      <w:i/>
      <w:iCs/>
      <w:color w:val="404040" w:themeColor="text1" w:themeTint="BF"/>
      <w14:textFill>
        <w14:solidFill>
          <w14:schemeClr w14:val="tx1">
            <w14:lumMod w14:val="75000"/>
            <w14:lumOff w14:val="25000"/>
          </w14:schemeClr>
        </w14:solidFill>
      </w14:textFill>
    </w:rPr>
  </w:style>
  <w:style w:type="character" w:customStyle="1" w:styleId="56">
    <w:name w:val="明显强调1"/>
    <w:basedOn w:val="24"/>
    <w:qFormat/>
    <w:uiPriority w:val="21"/>
    <w:rPr>
      <w:i/>
      <w:iCs/>
      <w:color w:val="4472C4" w:themeColor="accent1"/>
      <w14:textFill>
        <w14:solidFill>
          <w14:schemeClr w14:val="accent1"/>
        </w14:solidFill>
      </w14:textFill>
    </w:rPr>
  </w:style>
  <w:style w:type="paragraph" w:styleId="57">
    <w:name w:val="Quote"/>
    <w:basedOn w:val="1"/>
    <w:next w:val="1"/>
    <w:link w:val="58"/>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引用 字符"/>
    <w:basedOn w:val="24"/>
    <w:link w:val="57"/>
    <w:qFormat/>
    <w:uiPriority w:val="29"/>
    <w:rPr>
      <w:i/>
      <w:iCs/>
      <w:color w:val="404040" w:themeColor="text1" w:themeTint="BF"/>
      <w:sz w:val="24"/>
      <w:szCs w:val="24"/>
      <w:lang w:eastAsia="en-US"/>
      <w14:textFill>
        <w14:solidFill>
          <w14:schemeClr w14:val="tx1">
            <w14:lumMod w14:val="75000"/>
            <w14:lumOff w14:val="25000"/>
          </w14:schemeClr>
        </w14:solidFill>
      </w14:textFill>
    </w:rPr>
  </w:style>
  <w:style w:type="paragraph" w:styleId="59">
    <w:name w:val="Intense Quote"/>
    <w:basedOn w:val="1"/>
    <w:next w:val="1"/>
    <w:link w:val="60"/>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60">
    <w:name w:val="明显引用 字符"/>
    <w:basedOn w:val="24"/>
    <w:link w:val="59"/>
    <w:qFormat/>
    <w:uiPriority w:val="30"/>
    <w:rPr>
      <w:i/>
      <w:iCs/>
      <w:color w:val="4472C4" w:themeColor="accent1"/>
      <w:sz w:val="24"/>
      <w:szCs w:val="24"/>
      <w:lang w:eastAsia="en-US"/>
      <w14:textFill>
        <w14:solidFill>
          <w14:schemeClr w14:val="accent1"/>
        </w14:solidFill>
      </w14:textFill>
    </w:rPr>
  </w:style>
  <w:style w:type="character" w:customStyle="1" w:styleId="61">
    <w:name w:val="不明显参考1"/>
    <w:basedOn w:val="2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明显参考1"/>
    <w:basedOn w:val="24"/>
    <w:qFormat/>
    <w:uiPriority w:val="32"/>
    <w:rPr>
      <w:b/>
      <w:bCs/>
      <w:smallCaps/>
      <w:color w:val="4472C4" w:themeColor="accent1"/>
      <w:spacing w:val="5"/>
      <w14:textFill>
        <w14:solidFill>
          <w14:schemeClr w14:val="accent1"/>
        </w14:solidFill>
      </w14:textFill>
    </w:rPr>
  </w:style>
  <w:style w:type="character" w:customStyle="1" w:styleId="63">
    <w:name w:val="书籍标题1"/>
    <w:basedOn w:val="24"/>
    <w:qFormat/>
    <w:uiPriority w:val="33"/>
    <w:rPr>
      <w:b/>
      <w:bCs/>
      <w:i/>
      <w:iCs/>
      <w:spacing w:val="5"/>
    </w:rPr>
  </w:style>
  <w:style w:type="paragraph" w:styleId="64">
    <w:name w:val="List Paragraph"/>
    <w:basedOn w:val="1"/>
    <w:qFormat/>
    <w:uiPriority w:val="34"/>
    <w:pPr>
      <w:ind w:left="720"/>
      <w:contextualSpacing/>
    </w:pPr>
  </w:style>
  <w:style w:type="character" w:customStyle="1" w:styleId="65">
    <w:name w:val="apple-converted-space"/>
    <w:basedOn w:val="24"/>
    <w:qFormat/>
    <w:uiPriority w:val="0"/>
  </w:style>
  <w:style w:type="paragraph" w:customStyle="1" w:styleId="66">
    <w:name w:val="AWI-Table"/>
    <w:basedOn w:val="39"/>
    <w:qFormat/>
    <w:uiPriority w:val="0"/>
    <w:rPr>
      <w:b w:val="0"/>
    </w:rPr>
  </w:style>
  <w:style w:type="character" w:customStyle="1" w:styleId="67">
    <w:name w:val="AWI-Standard Zchn"/>
    <w:link w:val="3"/>
    <w:qFormat/>
    <w:uiPriority w:val="0"/>
    <w:rPr>
      <w:rFonts w:ascii="Arial" w:hAnsi="Arial"/>
      <w:sz w:val="22"/>
      <w:lang w:val="en-GB" w:eastAsia="ar-SA"/>
    </w:rPr>
  </w:style>
  <w:style w:type="paragraph" w:customStyle="1" w:styleId="68">
    <w:name w:val="AWI-Teacher 9 pt"/>
    <w:basedOn w:val="3"/>
    <w:qFormat/>
    <w:uiPriority w:val="0"/>
    <w:rPr>
      <w:i/>
      <w:color w:val="4472C4" w:themeColor="accent1"/>
      <w:sz w:val="20"/>
      <w14:textFill>
        <w14:solidFill>
          <w14:schemeClr w14:val="accent1"/>
        </w14:solidFill>
      </w14:textFill>
    </w:rPr>
  </w:style>
  <w:style w:type="character" w:customStyle="1" w:styleId="69">
    <w:name w:val="批注框文本 字符"/>
    <w:basedOn w:val="24"/>
    <w:link w:val="13"/>
    <w:semiHidden/>
    <w:qFormat/>
    <w:uiPriority w:val="99"/>
    <w:rPr>
      <w:rFonts w:ascii="Segoe UI" w:hAnsi="Segoe UI" w:cs="Segoe UI"/>
      <w:sz w:val="18"/>
      <w:szCs w:val="18"/>
      <w:lang w:eastAsia="en-US"/>
    </w:rPr>
  </w:style>
  <w:style w:type="paragraph" w:customStyle="1" w:styleId="70">
    <w:name w:val="AWI-Standard15F (AWI-Titel)"/>
    <w:basedOn w:val="1"/>
    <w:qFormat/>
    <w:uiPriority w:val="99"/>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paragraph" w:customStyle="1" w:styleId="71">
    <w:name w:val="AWI-Image"/>
    <w:basedOn w:val="38"/>
    <w:qFormat/>
    <w:uiPriority w:val="0"/>
    <w:pPr>
      <w:spacing w:after="120"/>
    </w:pPr>
  </w:style>
  <w:style w:type="character" w:customStyle="1" w:styleId="72">
    <w:name w:val="批注主题 字符"/>
    <w:basedOn w:val="48"/>
    <w:link w:val="21"/>
    <w:semiHidden/>
    <w:qFormat/>
    <w:uiPriority w:val="99"/>
    <w:rPr>
      <w:b/>
      <w:bCs/>
      <w:lang w:eastAsia="en-US"/>
    </w:rPr>
  </w:style>
  <w:style w:type="character" w:customStyle="1" w:styleId="73">
    <w:name w:val="未处理的提及1"/>
    <w:basedOn w:val="24"/>
    <w:semiHidden/>
    <w:unhideWhenUsed/>
    <w:qFormat/>
    <w:uiPriority w:val="99"/>
    <w:rPr>
      <w:color w:val="605E5C"/>
      <w:shd w:val="clear" w:color="auto" w:fill="E1DFDD"/>
    </w:rPr>
  </w:style>
  <w:style w:type="paragraph" w:customStyle="1" w:styleId="74">
    <w:name w:val="AWI-Teacher – Heading 11 pt"/>
    <w:basedOn w:val="3"/>
    <w:qFormat/>
    <w:uiPriority w:val="0"/>
    <w:rPr>
      <w:color w:val="4472C4" w:themeColor="accent1"/>
      <w14:textFill>
        <w14:solidFill>
          <w14:schemeClr w14:val="accent1"/>
        </w14:solidFill>
      </w14:textFill>
    </w:rPr>
  </w:style>
  <w:style w:type="character" w:customStyle="1" w:styleId="75">
    <w:name w:val="h9rpj5gkjhrwbrml3kdi"/>
    <w:basedOn w:val="24"/>
    <w:qFormat/>
    <w:uiPriority w:val="0"/>
  </w:style>
  <w:style w:type="character" w:customStyle="1" w:styleId="76">
    <w:name w:val="g9ddarlprace29mmtwab"/>
    <w:basedOn w:val="24"/>
    <w:qFormat/>
    <w:uiPriority w:val="0"/>
  </w:style>
  <w:style w:type="character" w:customStyle="1" w:styleId="77">
    <w:name w:val="anegp0gi0b9av8jahpyh"/>
    <w:basedOn w:val="24"/>
    <w:qFormat/>
    <w:uiPriority w:val="0"/>
  </w:style>
  <w:style w:type="character" w:customStyle="1" w:styleId="78">
    <w:name w:val="al-author-delim"/>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D1A3-72D3-4143-A3CF-E3992ECBCDE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814</Words>
  <Characters>5465</Characters>
  <Lines>85</Lines>
  <Paragraphs>19</Paragraphs>
  <TotalTime>162</TotalTime>
  <ScaleCrop>false</ScaleCrop>
  <LinksUpToDate>false</LinksUpToDate>
  <CharactersWithSpaces>6271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2025-05-30T03:04:00Z</dcterms:created>
  <dc:creator>Microsoft Office User</dc:creator>
  <cp:lastModifiedBy>年轻的孩子</cp:lastModifiedBy>
  <cp:lastPrinted>2411-12-31T15:59:00Z</cp:lastPrinted>
  <dcterms:modified xsi:type="dcterms:W3CDTF">2025-07-30T09:23:54Z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TemplateDocerSaveRecord">
    <vt:lpwstr>eyJoZGlkIjoiMDk1MjcwMzU0ZDNlYzA5NzU0YTI0ZmE5NDdjOTkxZGEiLCJ1c2VySWQiOiI0NTQwMjk4MzQifQ==</vt:lpwstr>
  </property>
  <property fmtid="{D5CDD505-2E9C-101B-9397-08002B2CF9AE}" pid="10" name="KSOProductBuildVer">
    <vt:lpwstr>2052-12.1.0.21915</vt:lpwstr>
  </property>
  <property fmtid="{D5CDD505-2E9C-101B-9397-08002B2CF9AE}" pid="11" name="ICV">
    <vt:lpwstr>632627530E464B888C352E1D0C4201CC_13</vt:lpwstr>
  </property>
</Properties>
</file>