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C39536" w14:textId="77777777" w:rsidR="001D76C4" w:rsidRPr="001D76C4" w:rsidRDefault="00BF23DC" w:rsidP="001D76C4">
      <w:pPr>
        <w:pStyle w:val="AWI-Captions"/>
        <w:jc w:val="left"/>
      </w:pPr>
      <w:r>
        <w:t xml:space="preserve">Mohammad </w:t>
      </w:r>
      <w:proofErr w:type="spellStart"/>
      <w:r>
        <w:t>Vafadarmianvelayat</w:t>
      </w:r>
      <w:proofErr w:type="spellEnd"/>
      <w:r>
        <w:t xml:space="preserve">     mohammad.vafadar@awi.de</w:t>
      </w:r>
    </w:p>
    <w:p w14:paraId="2E7D9CBC" w14:textId="5E85061D" w:rsidR="00BF23DC" w:rsidRDefault="00DD01BD" w:rsidP="00DD01BD">
      <w:pPr>
        <w:pStyle w:val="AWI-Heading3"/>
      </w:pPr>
      <w:r>
        <w:t xml:space="preserve">Session: </w:t>
      </w:r>
      <w:r w:rsidR="006135D1" w:rsidRPr="006135D1">
        <w:t>Borehole logging and in-situ observatories</w:t>
      </w:r>
    </w:p>
    <w:p w14:paraId="2C366D9A" w14:textId="7E8A688C" w:rsidR="005A6E89" w:rsidRDefault="005A6E89" w:rsidP="005A6E89">
      <w:pPr>
        <w:pStyle w:val="AWI-Heading3"/>
      </w:pPr>
      <w:r>
        <w:t xml:space="preserve">Type of </w:t>
      </w:r>
      <w:proofErr w:type="spellStart"/>
      <w:r>
        <w:t>presenation</w:t>
      </w:r>
      <w:proofErr w:type="spellEnd"/>
      <w:r w:rsidR="00DD01BD">
        <w:t>: Poster</w:t>
      </w:r>
    </w:p>
    <w:p w14:paraId="01E2FDFE" w14:textId="19C9CA1D" w:rsidR="00D159AC" w:rsidRPr="00DC7B76" w:rsidRDefault="00AF4633" w:rsidP="00DC7B76">
      <w:pPr>
        <w:pStyle w:val="AWI-Heading1"/>
      </w:pPr>
      <w:r>
        <w:t xml:space="preserve">Inclinometer Applications Using Encapsulated Accelerometer Data Calibrated for Varying </w:t>
      </w:r>
      <w:r w:rsidR="00034751">
        <w:t xml:space="preserve">MEGAPASCAL </w:t>
      </w:r>
      <w:r>
        <w:t>Pressure and Cryo-Temperature Conditions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034751" w14:paraId="782942D1" w14:textId="77777777" w:rsidTr="00F87D42">
        <w:tc>
          <w:tcPr>
            <w:tcW w:w="4536" w:type="dxa"/>
            <w:shd w:val="clear" w:color="auto" w:fill="auto"/>
          </w:tcPr>
          <w:p w14:paraId="58771475" w14:textId="59EB0C50" w:rsidR="00236723" w:rsidRPr="00D75ECE" w:rsidRDefault="00AF4633" w:rsidP="007F65B5">
            <w:pPr>
              <w:pStyle w:val="AWI-Participants"/>
              <w:rPr>
                <w:vertAlign w:val="superscript"/>
              </w:rPr>
            </w:pPr>
            <w:r>
              <w:t>Mohammad Vafadarmianvelayat¹², Matthias Hüther¹, Johannes Lemburg¹, and Frank Wilhelms¹³</w:t>
            </w:r>
          </w:p>
        </w:tc>
        <w:tc>
          <w:tcPr>
            <w:tcW w:w="4533" w:type="dxa"/>
            <w:shd w:val="clear" w:color="auto" w:fill="auto"/>
          </w:tcPr>
          <w:p w14:paraId="458771E5" w14:textId="1462A74B" w:rsidR="00D159AC" w:rsidRPr="00CA542C" w:rsidRDefault="00AF4633" w:rsidP="00AD3D00">
            <w:pPr>
              <w:pStyle w:val="AWI-Participants"/>
            </w:pPr>
            <w:r>
              <w:t>¹Alfred-Wegener-Institut Helmholtz-</w:t>
            </w:r>
            <w:proofErr w:type="spellStart"/>
            <w:r>
              <w:t>Zentrum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Polar- und </w:t>
            </w:r>
            <w:proofErr w:type="spellStart"/>
            <w:r>
              <w:t>Meeresforschung</w:t>
            </w:r>
            <w:proofErr w:type="spellEnd"/>
            <w:r>
              <w:t>, Bremerhaven, Germany</w:t>
            </w:r>
            <w:r>
              <w:br/>
              <w:t>²Georg August University of Göttingen, Department of Geoscience, Göttingen, Germany</w:t>
            </w:r>
            <w:r>
              <w:br/>
              <w:t>³Georg August University of Göttingen, Department of Isotope Geology, Göttingen, Germany</w:t>
            </w:r>
          </w:p>
        </w:tc>
      </w:tr>
    </w:tbl>
    <w:p w14:paraId="2B8C3E26" w14:textId="77777777" w:rsidR="00EC5C7B" w:rsidRDefault="00EC5C7B" w:rsidP="001C4ACE">
      <w:pPr>
        <w:pStyle w:val="AWI-Standard"/>
      </w:pPr>
    </w:p>
    <w:p w14:paraId="5427B739" w14:textId="77777777" w:rsidR="006B0F39" w:rsidRPr="006B0F39" w:rsidRDefault="006B0F39" w:rsidP="006B0F39">
      <w:pPr>
        <w:pStyle w:val="NormalWeb"/>
        <w:jc w:val="both"/>
        <w:rPr>
          <w:rFonts w:asciiTheme="minorBidi" w:hAnsiTheme="minorBidi" w:cstheme="minorBidi"/>
          <w:lang w:val="en-US" w:eastAsia="de-DE"/>
        </w:rPr>
      </w:pPr>
      <w:r w:rsidRPr="006B0F39">
        <w:rPr>
          <w:rFonts w:asciiTheme="minorBidi" w:hAnsiTheme="minorBidi" w:cstheme="minorBidi"/>
          <w:lang w:val="en-US"/>
        </w:rPr>
        <w:t>MEMS accelerometers offer high precision in tilt sensing but are sensitive to temperature and pressure. This work presents a robust inclinometer design and calibration method for harsh environments such as deep ice boreholes. We model drift behavior at cryo-temperatures and pressures up to 350 bar, showing that angle-based calibration significantly improves accuracy.</w:t>
      </w:r>
    </w:p>
    <w:p w14:paraId="369235BA" w14:textId="77777777" w:rsidR="00B122F5" w:rsidRDefault="006B0F39" w:rsidP="00B122F5">
      <w:pPr>
        <w:pStyle w:val="NormalWeb"/>
        <w:jc w:val="both"/>
        <w:rPr>
          <w:lang w:val="en-US"/>
        </w:rPr>
      </w:pPr>
      <w:r w:rsidRPr="006B0F39">
        <w:rPr>
          <w:rFonts w:asciiTheme="minorBidi" w:hAnsiTheme="minorBidi" w:cstheme="minorBidi"/>
          <w:lang w:val="en-US"/>
        </w:rPr>
        <w:t xml:space="preserve">Beyond inclination sensing, we outline a compact logger concept that integrates the same calibrated sensor to also estimate borehole cross-sectional shape. </w:t>
      </w:r>
      <w:r w:rsidR="00B122F5" w:rsidRPr="00B122F5">
        <w:rPr>
          <w:rFonts w:asciiTheme="minorBidi" w:hAnsiTheme="minorBidi" w:cstheme="minorBidi"/>
          <w:lang w:val="en-US"/>
        </w:rPr>
        <w:t>While inclination performance has been experimentally validated, the sensor’s high precision and successful calibration also make it a promising candidate for estimating borehole cross-sectional shape within the same logger system.</w:t>
      </w:r>
    </w:p>
    <w:p w14:paraId="0F8F9270" w14:textId="20BF4878" w:rsidR="006B0F39" w:rsidRPr="006B0F39" w:rsidRDefault="006B0F39" w:rsidP="00B122F5">
      <w:pPr>
        <w:pStyle w:val="NormalWeb"/>
        <w:jc w:val="both"/>
        <w:rPr>
          <w:rFonts w:asciiTheme="minorBidi" w:hAnsiTheme="minorBidi" w:cstheme="minorBidi"/>
          <w:lang w:val="en-US"/>
        </w:rPr>
      </w:pPr>
      <w:r w:rsidRPr="006B0F39">
        <w:rPr>
          <w:rFonts w:asciiTheme="minorBidi" w:hAnsiTheme="minorBidi" w:cstheme="minorBidi"/>
          <w:lang w:val="en-US"/>
        </w:rPr>
        <w:t xml:space="preserve">This approach enables accurate inclination monitoring and offers the potential for repeated borehole shape profiling throughout the </w:t>
      </w:r>
      <w:r w:rsidR="00034751">
        <w:rPr>
          <w:rFonts w:asciiTheme="minorBidi" w:hAnsiTheme="minorBidi" w:cstheme="minorBidi"/>
          <w:lang w:val="en-US"/>
        </w:rPr>
        <w:t xml:space="preserve">decade, </w:t>
      </w:r>
      <w:r w:rsidRPr="006B0F39">
        <w:rPr>
          <w:rFonts w:asciiTheme="minorBidi" w:hAnsiTheme="minorBidi" w:cstheme="minorBidi"/>
          <w:lang w:val="en-US"/>
        </w:rPr>
        <w:t>supporting both drill performance evaluation and glaciological deformation studies.</w:t>
      </w:r>
    </w:p>
    <w:p w14:paraId="6927BC01" w14:textId="77777777" w:rsidR="00AF4633" w:rsidRPr="006B0F39" w:rsidRDefault="00AF4633" w:rsidP="0030102E">
      <w:pPr>
        <w:pStyle w:val="AWI-Standard"/>
        <w:rPr>
          <w:lang w:val="en-US"/>
        </w:rPr>
      </w:pPr>
    </w:p>
    <w:p w14:paraId="24836F5E" w14:textId="77777777" w:rsidR="00D159AC" w:rsidRPr="00D75ECE" w:rsidRDefault="00D159AC">
      <w:pPr>
        <w:pStyle w:val="AWI-Heading4"/>
      </w:pPr>
      <w:r w:rsidRPr="00D75ECE">
        <w:t>References</w:t>
      </w:r>
      <w:r w:rsidR="006A67BE" w:rsidRPr="00D75ECE">
        <w:t xml:space="preserve"> </w:t>
      </w:r>
    </w:p>
    <w:p w14:paraId="4F43FEE3" w14:textId="690EA657" w:rsidR="00450444" w:rsidRDefault="003C0A83" w:rsidP="003C0A83">
      <w:pPr>
        <w:pStyle w:val="AWI-References"/>
      </w:pPr>
      <w:r w:rsidRPr="003C0A83">
        <w:t>Analog Devices, Inc., “ADXL354/ADXL355: Low noise, low drift, low power, 3-Axis MEMS accelerometers,” Datasheet,</w:t>
      </w:r>
      <w:r>
        <w:t xml:space="preserve"> </w:t>
      </w:r>
      <w:proofErr w:type="spellStart"/>
      <w:r w:rsidRPr="003C0A83">
        <w:t>Rev.A</w:t>
      </w:r>
      <w:proofErr w:type="spellEnd"/>
      <w:r w:rsidRPr="003C0A83">
        <w:t xml:space="preserve">, Apr.2024. [Online]. Available: </w:t>
      </w:r>
      <w:hyperlink r:id="rId8" w:history="1">
        <w:r w:rsidRPr="005B7CCA">
          <w:rPr>
            <w:rStyle w:val="Hyperlink"/>
          </w:rPr>
          <w:t>https://www.analog.com/media/en/technical-documentation/data-sheets/adxl354_355.pdf</w:t>
        </w:r>
      </w:hyperlink>
    </w:p>
    <w:p w14:paraId="435435E8" w14:textId="66CF8B86" w:rsidR="003C0A83" w:rsidRDefault="003C0A83" w:rsidP="003C0A83">
      <w:pPr>
        <w:pStyle w:val="AWI-References"/>
      </w:pPr>
    </w:p>
    <w:p w14:paraId="25305018" w14:textId="4D7EAB45" w:rsidR="003C0A83" w:rsidRPr="00034751" w:rsidRDefault="003C0A83" w:rsidP="00034751">
      <w:pPr>
        <w:pStyle w:val="AWI-References"/>
        <w:rPr>
          <w:lang w:val="en-US"/>
        </w:rPr>
      </w:pPr>
      <w:r w:rsidRPr="000B5EF5">
        <w:rPr>
          <w:lang w:val="en-US"/>
        </w:rPr>
        <w:t xml:space="preserve">H.-F. Liu, Z.-C. Luo, Z.-K. Hu, S.-Q. Yang, L.-C. Tu, Z.-B. Zhou, and M. Kraft, </w:t>
      </w:r>
      <w:r w:rsidRPr="000B5EF5">
        <w:rPr>
          <w:rFonts w:hint="eastAsia"/>
          <w:lang w:val="en-US"/>
        </w:rPr>
        <w:t>“</w:t>
      </w:r>
      <w:r w:rsidRPr="000B5EF5">
        <w:rPr>
          <w:lang w:val="en-US"/>
        </w:rPr>
        <w:t>A review of high-performance MEMS sensors for resource exploration and geophysical applications,</w:t>
      </w:r>
      <w:r w:rsidRPr="000B5EF5">
        <w:rPr>
          <w:rFonts w:hint="eastAsia"/>
          <w:lang w:val="en-US"/>
        </w:rPr>
        <w:t>”</w:t>
      </w:r>
      <w:r w:rsidRPr="000B5EF5">
        <w:rPr>
          <w:lang w:val="en-US"/>
        </w:rPr>
        <w:t xml:space="preserve"> Petroleum Science, vol. 19, no.6, pp. 2631</w:t>
      </w:r>
      <w:r w:rsidRPr="000B5EF5">
        <w:rPr>
          <w:rFonts w:hint="eastAsia"/>
          <w:lang w:val="en-US"/>
        </w:rPr>
        <w:t>–</w:t>
      </w:r>
      <w:r w:rsidRPr="000B5EF5">
        <w:rPr>
          <w:lang w:val="en-US"/>
        </w:rPr>
        <w:t xml:space="preserve">2648, 2022, </w:t>
      </w:r>
      <w:hyperlink r:id="rId9" w:history="1">
        <w:r w:rsidR="000B5EF5" w:rsidRPr="005B7CCA">
          <w:rPr>
            <w:rStyle w:val="Hyperlink"/>
            <w:lang w:val="en-US"/>
          </w:rPr>
          <w:t>https://doi.org/10.1016/j.petsci.2022.06.005</w:t>
        </w:r>
      </w:hyperlink>
    </w:p>
    <w:sectPr w:rsidR="003C0A83" w:rsidRPr="00034751" w:rsidSect="00E65B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BD3B" w14:textId="77777777" w:rsidR="00AE1BC6" w:rsidRDefault="00AE1BC6">
      <w:r>
        <w:separator/>
      </w:r>
    </w:p>
  </w:endnote>
  <w:endnote w:type="continuationSeparator" w:id="0">
    <w:p w14:paraId="09991295" w14:textId="77777777" w:rsidR="00AE1BC6" w:rsidRDefault="00AE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1902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F891BE" w14:textId="77777777" w:rsidR="00475CCA" w:rsidRDefault="00475CCA" w:rsidP="00F72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FBFF8F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F2FB" w14:textId="77777777" w:rsidR="00BF23DC" w:rsidRDefault="00BF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3F62" w14:textId="77777777" w:rsidR="00BF23DC" w:rsidRDefault="00BF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D57F" w14:textId="77777777" w:rsidR="00AE1BC6" w:rsidRDefault="00AE1BC6">
      <w:r>
        <w:separator/>
      </w:r>
    </w:p>
  </w:footnote>
  <w:footnote w:type="continuationSeparator" w:id="0">
    <w:p w14:paraId="174D44A1" w14:textId="77777777" w:rsidR="00AE1BC6" w:rsidRDefault="00AE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55B9" w14:textId="77777777" w:rsidR="00BF23DC" w:rsidRDefault="00BF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65AB" w14:textId="77777777" w:rsidR="00BF23DC" w:rsidRDefault="00BF2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AA6E" w14:textId="77777777" w:rsidR="00BF23DC" w:rsidRDefault="00BF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18"/>
  </w:num>
  <w:num w:numId="25">
    <w:abstractNumId w:val="28"/>
  </w:num>
  <w:num w:numId="26">
    <w:abstractNumId w:val="24"/>
  </w:num>
  <w:num w:numId="27">
    <w:abstractNumId w:val="2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751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327C"/>
    <w:rsid w:val="000A401B"/>
    <w:rsid w:val="000B0697"/>
    <w:rsid w:val="000B0F30"/>
    <w:rsid w:val="000B2E84"/>
    <w:rsid w:val="000B478C"/>
    <w:rsid w:val="000B4C6D"/>
    <w:rsid w:val="000B5967"/>
    <w:rsid w:val="000B5EF5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3246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0A83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50444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35D1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0F39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E1BC6"/>
    <w:rsid w:val="00AF086B"/>
    <w:rsid w:val="00AF1D13"/>
    <w:rsid w:val="00AF1ECC"/>
    <w:rsid w:val="00AF43F2"/>
    <w:rsid w:val="00AF4633"/>
    <w:rsid w:val="00AF6F99"/>
    <w:rsid w:val="00B01CFE"/>
    <w:rsid w:val="00B102EB"/>
    <w:rsid w:val="00B122F5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4184"/>
    <w:rsid w:val="00DB5838"/>
    <w:rsid w:val="00DB6C0A"/>
    <w:rsid w:val="00DB7C73"/>
    <w:rsid w:val="00DC0716"/>
    <w:rsid w:val="00DC20E3"/>
    <w:rsid w:val="00DC58A2"/>
    <w:rsid w:val="00DC7B76"/>
    <w:rsid w:val="00DD01BD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672D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E4DA79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4A23"/>
    <w:rPr>
      <w:sz w:val="24"/>
      <w:szCs w:val="24"/>
      <w:lang w:eastAsia="en-US"/>
    </w:rPr>
  </w:style>
  <w:style w:type="paragraph" w:styleId="Heading1">
    <w:name w:val="heading 1"/>
    <w:basedOn w:val="AWI-Standard"/>
    <w:next w:val="Normal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Heading3">
    <w:name w:val="heading 3"/>
    <w:basedOn w:val="Normal"/>
    <w:next w:val="Normal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Heading5">
    <w:name w:val="heading 5"/>
    <w:basedOn w:val="Normal"/>
    <w:next w:val="Normal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Heading6">
    <w:name w:val="heading 6"/>
    <w:basedOn w:val="Normal"/>
    <w:next w:val="Normal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Heading7">
    <w:name w:val="heading 7"/>
    <w:basedOn w:val="Normal"/>
    <w:next w:val="Normal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Heading8">
    <w:name w:val="heading 8"/>
    <w:basedOn w:val="Normal"/>
    <w:next w:val="Normal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Heading9">
    <w:name w:val="heading 9"/>
    <w:basedOn w:val="Normal"/>
    <w:next w:val="Normal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Normal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Heading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Normal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Revision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4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73"/>
    <w:rPr>
      <w:sz w:val="24"/>
      <w:szCs w:val="24"/>
      <w:lang w:eastAsia="en-US"/>
    </w:rPr>
  </w:style>
  <w:style w:type="paragraph" w:styleId="NoSpacing">
    <w:name w:val="No Spacing"/>
    <w:uiPriority w:val="1"/>
    <w:rsid w:val="00864200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8642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64200"/>
    <w:rPr>
      <w:i/>
      <w:iCs/>
    </w:rPr>
  </w:style>
  <w:style w:type="character" w:styleId="IntenseEmphasis">
    <w:name w:val="Intense Emphasis"/>
    <w:basedOn w:val="DefaultParagraphFont"/>
    <w:uiPriority w:val="21"/>
    <w:rsid w:val="00864200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8642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F87C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F87C7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leGrid">
    <w:name w:val="Table Grid"/>
    <w:basedOn w:val="TableNormal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NormalWeb">
    <w:name w:val="Normal (Web)"/>
    <w:basedOn w:val="Normal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Normal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96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log.com/media/en/technical-documentation/data-sheets/adxl354_355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petsci.2022.06.0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Mohammad Vafadar Mianvelayat</cp:lastModifiedBy>
  <cp:revision>4</cp:revision>
  <cp:lastPrinted>1899-12-31T23:00:00Z</cp:lastPrinted>
  <dcterms:created xsi:type="dcterms:W3CDTF">2025-06-26T08:55:00Z</dcterms:created>
  <dcterms:modified xsi:type="dcterms:W3CDTF">2025-07-03T15:29:00Z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