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FC419A" w14:textId="21B838B1" w:rsidR="00E25E43" w:rsidRDefault="00A20E4E">
      <w:pPr>
        <w:pStyle w:val="AWI-Captions"/>
        <w:jc w:val="left"/>
      </w:pPr>
      <w:bookmarkStart w:id="0" w:name="_Toc187815268"/>
      <w:bookmarkStart w:id="1" w:name="Bookmark2"/>
      <w:proofErr w:type="spellStart"/>
      <w:r>
        <w:rPr>
          <w:rFonts w:hint="eastAsia"/>
          <w:lang w:eastAsia="zh-CN"/>
        </w:rPr>
        <w:t>Zhaokang</w:t>
      </w:r>
      <w:proofErr w:type="spellEnd"/>
      <w:r>
        <w:rPr>
          <w:rFonts w:hint="eastAsia"/>
          <w:lang w:eastAsia="zh-CN"/>
        </w:rPr>
        <w:t xml:space="preserve"> Shen</w:t>
      </w:r>
      <w:r w:rsidR="0080025A">
        <w:t xml:space="preserve">    </w:t>
      </w:r>
      <w:r w:rsidRPr="00A20E4E">
        <w:t>244040020@hdu.edu.cn</w:t>
      </w:r>
    </w:p>
    <w:p w14:paraId="2E8B437D" w14:textId="77777777" w:rsidR="00E25E43" w:rsidRDefault="0080025A">
      <w:pPr>
        <w:pStyle w:val="AWI-Heading3"/>
      </w:pPr>
      <w:r>
        <w:t>Hot Water Drilling</w:t>
      </w:r>
    </w:p>
    <w:p w14:paraId="2FA8E3C9" w14:textId="77777777" w:rsidR="00E25E43" w:rsidRDefault="0080025A">
      <w:pPr>
        <w:pStyle w:val="AWI-Heading3"/>
      </w:pPr>
      <w:r>
        <w:t>Oral</w:t>
      </w:r>
    </w:p>
    <w:p w14:paraId="7D375388" w14:textId="40CE6D40" w:rsidR="00E25E43" w:rsidRDefault="00023CEB">
      <w:pPr>
        <w:pStyle w:val="AWI-Heading1"/>
      </w:pPr>
      <w:bookmarkStart w:id="2" w:name="_Hlk200783382"/>
      <w:bookmarkEnd w:id="0"/>
      <w:bookmarkEnd w:id="1"/>
      <w:r w:rsidRPr="00023CEB">
        <w:t>Deep Rapid Access Drilling</w:t>
      </w:r>
      <w:bookmarkEnd w:id="2"/>
      <w:r w:rsidR="0080025A">
        <w:t xml:space="preserve">: Surface Control System DESIGN </w:t>
      </w:r>
    </w:p>
    <w:tbl>
      <w:tblPr>
        <w:tblW w:w="0" w:type="auto"/>
        <w:tblLayout w:type="fixed"/>
        <w:tblLook w:val="0000" w:firstRow="0" w:lastRow="0" w:firstColumn="0" w:lastColumn="0" w:noHBand="0" w:noVBand="0"/>
      </w:tblPr>
      <w:tblGrid>
        <w:gridCol w:w="4536"/>
        <w:gridCol w:w="4533"/>
      </w:tblGrid>
      <w:tr w:rsidR="00E25E43" w14:paraId="7C5D5481" w14:textId="77777777">
        <w:tc>
          <w:tcPr>
            <w:tcW w:w="4536" w:type="dxa"/>
            <w:shd w:val="clear" w:color="auto" w:fill="auto"/>
          </w:tcPr>
          <w:p w14:paraId="405B7BDB" w14:textId="2D7BC1D0" w:rsidR="00A20E4E" w:rsidRPr="00402F89" w:rsidRDefault="00A20E4E" w:rsidP="00A20E4E">
            <w:pPr>
              <w:pStyle w:val="AWI-Heading5"/>
              <w:rPr>
                <w:szCs w:val="22"/>
                <w:lang w:eastAsia="zh-CN"/>
              </w:rPr>
            </w:pPr>
            <w:bookmarkStart w:id="3" w:name="_Toc197609195"/>
            <w:bookmarkStart w:id="4" w:name="_Toc197610084"/>
            <w:proofErr w:type="spellStart"/>
            <w:r w:rsidRPr="00A20E4E">
              <w:t>Zhaokang</w:t>
            </w:r>
            <w:proofErr w:type="spellEnd"/>
            <w:r w:rsidRPr="00A20E4E">
              <w:t xml:space="preserve"> Shen</w:t>
            </w:r>
            <w:r w:rsidRPr="00B66737" w:rsidDel="00B66737">
              <w:t xml:space="preserve"> </w:t>
            </w:r>
            <w:r>
              <w:rPr>
                <w:vertAlign w:val="superscript"/>
              </w:rPr>
              <w:t>1</w:t>
            </w:r>
            <w:r>
              <w:t xml:space="preserve">, </w:t>
            </w:r>
            <w:proofErr w:type="spellStart"/>
            <w:r w:rsidRPr="00402F89">
              <w:t>Haibin</w:t>
            </w:r>
            <w:proofErr w:type="spellEnd"/>
            <w:r w:rsidRPr="00402F89">
              <w:t xml:space="preserve"> Yu</w:t>
            </w:r>
            <w:r>
              <w:rPr>
                <w:rFonts w:hint="eastAsia"/>
                <w:lang w:eastAsia="zh-CN"/>
              </w:rPr>
              <w:t xml:space="preserve"> </w:t>
            </w:r>
            <w:r>
              <w:rPr>
                <w:vertAlign w:val="superscript"/>
              </w:rPr>
              <w:t>1</w:t>
            </w:r>
            <w:r>
              <w:rPr>
                <w:rFonts w:hint="eastAsia"/>
                <w:vertAlign w:val="superscript"/>
                <w:lang w:eastAsia="zh-CN"/>
              </w:rPr>
              <w:t>,2</w:t>
            </w:r>
            <w:r>
              <w:t xml:space="preserve">, </w:t>
            </w:r>
            <w:proofErr w:type="spellStart"/>
            <w:r w:rsidRPr="00A20E4E">
              <w:t>Jianguang</w:t>
            </w:r>
            <w:proofErr w:type="spellEnd"/>
            <w:r w:rsidRPr="00A20E4E">
              <w:t xml:space="preserve"> Shi </w:t>
            </w:r>
            <w:bookmarkEnd w:id="3"/>
            <w:bookmarkEnd w:id="4"/>
            <w:r>
              <w:rPr>
                <w:rFonts w:hint="eastAsia"/>
                <w:vertAlign w:val="superscript"/>
                <w:lang w:eastAsia="zh-CN"/>
              </w:rPr>
              <w:t>1</w:t>
            </w:r>
            <w:r>
              <w:t xml:space="preserve">, </w:t>
            </w:r>
            <w:r>
              <w:rPr>
                <w:rFonts w:hint="eastAsia"/>
                <w:lang w:eastAsia="zh-CN"/>
              </w:rPr>
              <w:t xml:space="preserve">Tianhe Wu </w:t>
            </w:r>
            <w:r>
              <w:rPr>
                <w:rFonts w:hint="eastAsia"/>
                <w:vertAlign w:val="superscript"/>
                <w:lang w:eastAsia="zh-CN"/>
              </w:rPr>
              <w:t>1</w:t>
            </w:r>
            <w:r>
              <w:t xml:space="preserve">, </w:t>
            </w:r>
            <w:proofErr w:type="spellStart"/>
            <w:r>
              <w:rPr>
                <w:rFonts w:hint="eastAsia"/>
                <w:lang w:eastAsia="zh-CN"/>
              </w:rPr>
              <w:t>Kunpeng</w:t>
            </w:r>
            <w:proofErr w:type="spellEnd"/>
            <w:r>
              <w:rPr>
                <w:rFonts w:hint="eastAsia"/>
                <w:lang w:eastAsia="zh-CN"/>
              </w:rPr>
              <w:t xml:space="preserve"> Shen </w:t>
            </w:r>
            <w:r>
              <w:rPr>
                <w:rFonts w:hint="eastAsia"/>
                <w:vertAlign w:val="superscript"/>
                <w:lang w:eastAsia="zh-CN"/>
              </w:rPr>
              <w:t>1</w:t>
            </w:r>
            <w:r>
              <w:t xml:space="preserve">, </w:t>
            </w:r>
            <w:r>
              <w:rPr>
                <w:rFonts w:hint="eastAsia"/>
                <w:lang w:eastAsia="zh-CN"/>
              </w:rPr>
              <w:t>Xiao Jiang</w:t>
            </w:r>
            <w:r w:rsidRPr="00402F89">
              <w:t xml:space="preserve"> </w:t>
            </w:r>
            <w:r>
              <w:rPr>
                <w:rFonts w:hint="eastAsia"/>
                <w:vertAlign w:val="superscript"/>
                <w:lang w:eastAsia="zh-CN"/>
              </w:rPr>
              <w:t>1</w:t>
            </w:r>
            <w:r>
              <w:t xml:space="preserve">, </w:t>
            </w:r>
            <w:r w:rsidR="00DF4598" w:rsidRPr="00E21305">
              <w:rPr>
                <w:sz w:val="21"/>
              </w:rPr>
              <w:t>Pavel Talalay</w:t>
            </w:r>
            <w:r w:rsidR="00DF4598">
              <w:rPr>
                <w:vertAlign w:val="superscript"/>
                <w:lang w:eastAsia="zh-CN"/>
              </w:rPr>
              <w:t xml:space="preserve"> 3</w:t>
            </w:r>
            <w:r w:rsidR="00DF4598">
              <w:rPr>
                <w:rFonts w:hint="eastAsia"/>
                <w:lang w:eastAsia="zh-CN"/>
              </w:rPr>
              <w:t>,</w:t>
            </w:r>
            <w:r w:rsidR="00DF4598">
              <w:rPr>
                <w:lang w:eastAsia="zh-CN"/>
              </w:rPr>
              <w:t xml:space="preserve"> </w:t>
            </w:r>
            <w:r w:rsidR="00224979">
              <w:rPr>
                <w:rFonts w:hint="eastAsia"/>
                <w:lang w:eastAsia="zh-CN"/>
              </w:rPr>
              <w:t>Nan</w:t>
            </w:r>
            <w:r w:rsidR="00224979">
              <w:t xml:space="preserve"> </w:t>
            </w:r>
            <w:r w:rsidR="00224979">
              <w:rPr>
                <w:rFonts w:hint="eastAsia"/>
                <w:lang w:eastAsia="zh-CN"/>
              </w:rPr>
              <w:t>Zhang</w:t>
            </w:r>
            <w:r w:rsidR="00034E78">
              <w:rPr>
                <w:vertAlign w:val="superscript"/>
                <w:lang w:eastAsia="zh-CN"/>
              </w:rPr>
              <w:t>3</w:t>
            </w:r>
            <w:r w:rsidR="00224979">
              <w:rPr>
                <w:rFonts w:hint="eastAsia"/>
                <w:lang w:eastAsia="zh-CN"/>
              </w:rPr>
              <w:t>,</w:t>
            </w:r>
            <w:r w:rsidR="00224979">
              <w:rPr>
                <w:lang w:eastAsia="zh-CN"/>
              </w:rPr>
              <w:t xml:space="preserve"> </w:t>
            </w:r>
            <w:proofErr w:type="spellStart"/>
            <w:r w:rsidR="00224979">
              <w:rPr>
                <w:rFonts w:hint="eastAsia"/>
                <w:lang w:eastAsia="zh-CN"/>
              </w:rPr>
              <w:t>Xiaopeng</w:t>
            </w:r>
            <w:proofErr w:type="spellEnd"/>
            <w:r w:rsidR="00224979">
              <w:rPr>
                <w:rFonts w:hint="eastAsia"/>
                <w:lang w:eastAsia="zh-CN"/>
              </w:rPr>
              <w:t xml:space="preserve"> Fan</w:t>
            </w:r>
            <w:r w:rsidR="00034E78">
              <w:rPr>
                <w:rFonts w:hint="eastAsia"/>
                <w:lang w:eastAsia="zh-CN"/>
              </w:rPr>
              <w:t xml:space="preserve"> </w:t>
            </w:r>
            <w:r w:rsidR="00034E78">
              <w:rPr>
                <w:vertAlign w:val="superscript"/>
                <w:lang w:eastAsia="zh-CN"/>
              </w:rPr>
              <w:t>3</w:t>
            </w:r>
            <w:r w:rsidR="00224979">
              <w:rPr>
                <w:rFonts w:hint="eastAsia"/>
                <w:lang w:eastAsia="zh-CN"/>
              </w:rPr>
              <w:t>,</w:t>
            </w:r>
            <w:r w:rsidR="00224979">
              <w:rPr>
                <w:lang w:eastAsia="zh-CN"/>
              </w:rPr>
              <w:t xml:space="preserve"> </w:t>
            </w:r>
            <w:r w:rsidRPr="00A20E4E">
              <w:t>Shilin Peng</w:t>
            </w:r>
            <w:r>
              <w:t xml:space="preserve"> </w:t>
            </w:r>
            <w:proofErr w:type="gramStart"/>
            <w:r>
              <w:rPr>
                <w:rFonts w:hint="eastAsia"/>
                <w:vertAlign w:val="superscript"/>
                <w:lang w:eastAsia="zh-CN"/>
              </w:rPr>
              <w:t>1,*</w:t>
            </w:r>
            <w:proofErr w:type="gramEnd"/>
          </w:p>
          <w:p w14:paraId="4E8C8D7A" w14:textId="1AB5827B" w:rsidR="00E25E43" w:rsidRPr="00034E78" w:rsidRDefault="00E25E43">
            <w:pPr>
              <w:pStyle w:val="AWI-Heading5"/>
              <w:rPr>
                <w:szCs w:val="22"/>
              </w:rPr>
            </w:pPr>
          </w:p>
          <w:p w14:paraId="011C71F1" w14:textId="77777777" w:rsidR="00E25E43" w:rsidRDefault="00E25E43">
            <w:pPr>
              <w:pStyle w:val="AWI-Participants"/>
              <w:rPr>
                <w:vertAlign w:val="superscript"/>
              </w:rPr>
            </w:pPr>
          </w:p>
        </w:tc>
        <w:tc>
          <w:tcPr>
            <w:tcW w:w="4533" w:type="dxa"/>
            <w:shd w:val="clear" w:color="auto" w:fill="auto"/>
          </w:tcPr>
          <w:p w14:paraId="2C385E31" w14:textId="77777777" w:rsidR="00A20E4E" w:rsidRDefault="00A20E4E" w:rsidP="00A20E4E">
            <w:pPr>
              <w:pStyle w:val="AWI-Participants"/>
              <w:rPr>
                <w:lang w:eastAsia="zh-CN"/>
              </w:rPr>
            </w:pPr>
            <w:r>
              <w:rPr>
                <w:vertAlign w:val="superscript"/>
              </w:rPr>
              <w:t>1</w:t>
            </w:r>
            <w:r>
              <w:t xml:space="preserve"> </w:t>
            </w:r>
            <w:r w:rsidRPr="00402F89">
              <w:t xml:space="preserve">School of Electronics and Information, Hangzhou </w:t>
            </w:r>
            <w:proofErr w:type="spellStart"/>
            <w:r w:rsidRPr="00402F89">
              <w:t>Dianzi</w:t>
            </w:r>
            <w:proofErr w:type="spellEnd"/>
            <w:r w:rsidRPr="00402F89">
              <w:t xml:space="preserve"> University, Hangzhou</w:t>
            </w:r>
            <w:r>
              <w:t xml:space="preserve">, </w:t>
            </w:r>
            <w:r>
              <w:rPr>
                <w:rFonts w:hint="eastAsia"/>
                <w:lang w:eastAsia="zh-CN"/>
              </w:rPr>
              <w:t xml:space="preserve">China </w:t>
            </w:r>
          </w:p>
          <w:p w14:paraId="39B26882" w14:textId="77777777" w:rsidR="00E25E43" w:rsidRDefault="00A20E4E">
            <w:pPr>
              <w:pStyle w:val="AWI-Participants"/>
              <w:rPr>
                <w:lang w:eastAsia="zh-CN"/>
              </w:rPr>
            </w:pPr>
            <w:r>
              <w:rPr>
                <w:vertAlign w:val="superscript"/>
              </w:rPr>
              <w:t>2</w:t>
            </w:r>
            <w:r>
              <w:t xml:space="preserve"> </w:t>
            </w:r>
            <w:r w:rsidRPr="00402F89">
              <w:t>Ningbo Institute of Oceanography, Ningbo</w:t>
            </w:r>
            <w:r>
              <w:rPr>
                <w:rFonts w:hint="eastAsia"/>
                <w:lang w:eastAsia="zh-CN"/>
              </w:rPr>
              <w:t>,</w:t>
            </w:r>
            <w:r>
              <w:t xml:space="preserve"> C</w:t>
            </w:r>
            <w:r>
              <w:rPr>
                <w:rFonts w:hint="eastAsia"/>
                <w:lang w:eastAsia="zh-CN"/>
              </w:rPr>
              <w:t>hina</w:t>
            </w:r>
          </w:p>
          <w:p w14:paraId="6E3B8A27" w14:textId="35E6E87F" w:rsidR="001C50A5" w:rsidRDefault="001C50A5" w:rsidP="001C50A5">
            <w:pPr>
              <w:pStyle w:val="AWI-Participants"/>
              <w:rPr>
                <w:lang w:eastAsia="zh-CN"/>
              </w:rPr>
            </w:pPr>
            <w:r>
              <w:rPr>
                <w:vertAlign w:val="superscript"/>
              </w:rPr>
              <w:t>3</w:t>
            </w:r>
            <w:r>
              <w:t xml:space="preserve"> </w:t>
            </w:r>
            <w:r w:rsidRPr="001C50A5">
              <w:t>College of Construction Engineering, Jilin University, Changchun, China</w:t>
            </w:r>
          </w:p>
          <w:p w14:paraId="689A23D3" w14:textId="6758188B" w:rsidR="00D965F3" w:rsidRPr="001C50A5" w:rsidRDefault="00D965F3">
            <w:pPr>
              <w:pStyle w:val="AWI-Participants"/>
            </w:pPr>
          </w:p>
        </w:tc>
      </w:tr>
    </w:tbl>
    <w:p w14:paraId="237FC68F" w14:textId="77777777" w:rsidR="00E25E43" w:rsidRDefault="00E25E43">
      <w:pPr>
        <w:pStyle w:val="AWI-Standard"/>
      </w:pPr>
    </w:p>
    <w:p w14:paraId="77F132CA" w14:textId="52C828B9" w:rsidR="00E25E43" w:rsidRDefault="000B0222">
      <w:pPr>
        <w:pStyle w:val="AWI-Standard"/>
        <w:rPr>
          <w:lang w:eastAsia="zh-CN"/>
        </w:rPr>
      </w:pPr>
      <w:r w:rsidRPr="000B0222">
        <w:t>Hot water drilling has the advantages of less environmental pollution and fast drilling speed, but due to the wide variety of ice surface equipment, there are problems such as complex coordinated control of multiple systems and difficulty in troubleshooting</w:t>
      </w:r>
      <w:r w:rsidR="0080025A">
        <w:t xml:space="preserve">. This paper presents a centralized surface control system specifically designed for </w:t>
      </w:r>
      <w:r w:rsidR="0000570E">
        <w:t xml:space="preserve">a </w:t>
      </w:r>
      <w:r w:rsidR="0080025A">
        <w:t>polar hot water drilling</w:t>
      </w:r>
      <w:r w:rsidR="0000570E">
        <w:t>,</w:t>
      </w:r>
      <w:r w:rsidR="00772A61" w:rsidRPr="00772A61">
        <w:t xml:space="preserve"> </w:t>
      </w:r>
      <w:r w:rsidR="00772A61" w:rsidRPr="00772A61">
        <w:t>known as</w:t>
      </w:r>
      <w:r w:rsidR="00772A61">
        <w:rPr>
          <w:rFonts w:hint="eastAsia"/>
          <w:lang w:eastAsia="zh-CN"/>
        </w:rPr>
        <w:t xml:space="preserve"> </w:t>
      </w:r>
      <w:r w:rsidR="00772A61" w:rsidRPr="00772A61">
        <w:t>Deep</w:t>
      </w:r>
      <w:r w:rsidR="00772A61">
        <w:rPr>
          <w:rFonts w:hint="eastAsia"/>
          <w:lang w:eastAsia="zh-CN"/>
        </w:rPr>
        <w:t xml:space="preserve"> </w:t>
      </w:r>
      <w:r w:rsidR="00772A61" w:rsidRPr="00772A61">
        <w:t>Rapid</w:t>
      </w:r>
      <w:r w:rsidR="00772A61">
        <w:rPr>
          <w:rFonts w:hint="eastAsia"/>
          <w:lang w:eastAsia="zh-CN"/>
        </w:rPr>
        <w:t xml:space="preserve"> </w:t>
      </w:r>
      <w:r w:rsidR="00772A61" w:rsidRPr="00772A61">
        <w:t>Access</w:t>
      </w:r>
      <w:r w:rsidR="00772A61">
        <w:rPr>
          <w:rFonts w:hint="eastAsia"/>
          <w:lang w:eastAsia="zh-CN"/>
        </w:rPr>
        <w:t xml:space="preserve"> </w:t>
      </w:r>
      <w:r w:rsidR="00772A61" w:rsidRPr="00772A61">
        <w:t>Drilling</w:t>
      </w:r>
      <w:r w:rsidR="00772A61">
        <w:rPr>
          <w:rFonts w:hint="eastAsia"/>
          <w:lang w:eastAsia="zh-CN"/>
        </w:rPr>
        <w:t xml:space="preserve"> </w:t>
      </w:r>
      <w:r w:rsidR="00772A61" w:rsidRPr="00772A61">
        <w:t>(Deep</w:t>
      </w:r>
      <w:r w:rsidR="00772A61">
        <w:rPr>
          <w:rFonts w:hint="eastAsia"/>
          <w:lang w:eastAsia="zh-CN"/>
        </w:rPr>
        <w:t xml:space="preserve"> </w:t>
      </w:r>
      <w:r w:rsidR="00772A61" w:rsidRPr="00772A61">
        <w:t>RAD)</w:t>
      </w:r>
      <w:r w:rsidR="0080025A">
        <w:t>. The system integrates multiple functionalities, including status monitoring, video surveillance, independent module debugging, coordinated system control, fault diagnosis and warning, and automated emergency handling, enabling comprehensive monitoring and precise control of the drilling process.</w:t>
      </w:r>
    </w:p>
    <w:p w14:paraId="7B365D39" w14:textId="0BDF305E" w:rsidR="00E25E43" w:rsidRDefault="0080025A">
      <w:pPr>
        <w:pStyle w:val="AWI-Standard"/>
        <w:rPr>
          <w:lang w:eastAsia="zh-CN"/>
        </w:rPr>
      </w:pPr>
      <w:r>
        <w:t xml:space="preserve">The system incorporates multiple high-definition cameras to monitor the operational status of key components such as the boiler, the winch, and the borehole head in real time. Video data are transmitted via industrial-grade routers and switches to a hard disk recorder supporting dual-disk hot backup, ensuring redundant and highly reliable video storage. </w:t>
      </w:r>
      <w:bookmarkStart w:id="5" w:name="OLE_LINK4"/>
      <w:r w:rsidR="00A56AF5" w:rsidRPr="00A56AF5">
        <w:t>The core control unit employs an industrial-grade computer running a custom supervisory application. This system continuously acquires real-time sensor data from multiple subsystems, performs dynamic analysis, initiates threshold-triggered alarms, and executes automated control actions. All operational data is stored in a local database with redundant protection implemented through real-time data mirroring</w:t>
      </w:r>
      <w:r w:rsidR="00A56AF5">
        <w:rPr>
          <w:rFonts w:hint="eastAsia"/>
          <w:lang w:eastAsia="zh-CN"/>
        </w:rPr>
        <w:t>.</w:t>
      </w:r>
      <w:r>
        <w:t xml:space="preserve"> </w:t>
      </w:r>
      <w:bookmarkEnd w:id="5"/>
    </w:p>
    <w:p w14:paraId="6FA35EFF" w14:textId="72E4E889" w:rsidR="00E25E43" w:rsidRDefault="0031581E">
      <w:pPr>
        <w:pStyle w:val="AWI-Standard"/>
      </w:pPr>
      <w:r w:rsidRPr="0031581E">
        <w:t>The video surveillance system connects to two screens for real-time display of multi-channel monitoring images via a hard disk recorder; the human-machine interaction system uses an industrial computer connected to the other two screens to dynamically display the host computer control interface, data curves, and alarm information using communication protocols like Modbus RTU, Modbus TCP, and S7.NET, thereby ensuring system operation efficiency and data monitoring.</w:t>
      </w:r>
      <w:r w:rsidR="00F16550">
        <w:rPr>
          <w:rFonts w:hint="eastAsia"/>
          <w:lang w:eastAsia="zh-CN"/>
        </w:rPr>
        <w:t xml:space="preserve"> </w:t>
      </w:r>
      <w:r w:rsidR="00F16550" w:rsidRPr="00F16550">
        <w:rPr>
          <w:lang w:eastAsia="zh-CN"/>
        </w:rPr>
        <w:t>A multi-objective centralized control strategy based on a fuzzy PID algorithm was developed, and the dung beetle optimization algorithm was introduced for automatic tuning of the PID parameters.</w:t>
      </w:r>
      <w:r w:rsidR="00F16550">
        <w:rPr>
          <w:rFonts w:hint="eastAsia"/>
          <w:lang w:eastAsia="zh-CN"/>
        </w:rPr>
        <w:t xml:space="preserve"> </w:t>
      </w:r>
      <w:r w:rsidR="00531E9E" w:rsidRPr="00531E9E">
        <w:t xml:space="preserve">At the same time, an early warning system based on a multi-system fault library was developed, which </w:t>
      </w:r>
      <w:proofErr w:type="spellStart"/>
      <w:r w:rsidR="00531E9E" w:rsidRPr="00531E9E">
        <w:t>analyzes</w:t>
      </w:r>
      <w:proofErr w:type="spellEnd"/>
      <w:r w:rsidR="00531E9E" w:rsidRPr="00531E9E">
        <w:t xml:space="preserve"> and diagnoses according to the constraint relationship between the parameters of each device, displays the corresponding alarm information, and realizes the rapid fault location, automatic alarm and system emergency protection functions under complex polar conditions, improving the overall safety and reliability </w:t>
      </w:r>
      <w:r w:rsidR="00531E9E" w:rsidRPr="00531E9E">
        <w:lastRenderedPageBreak/>
        <w:t>of the system.</w:t>
      </w:r>
      <w:r w:rsidR="0080025A">
        <w:t xml:space="preserve"> All </w:t>
      </w:r>
      <w:proofErr w:type="spellStart"/>
      <w:r w:rsidR="0080025A">
        <w:t>equipments</w:t>
      </w:r>
      <w:proofErr w:type="spellEnd"/>
      <w:r w:rsidR="0080025A">
        <w:t xml:space="preserve"> are housed in a dedicated control room, enabling operators to maintain a full overview of system operations.</w:t>
      </w:r>
    </w:p>
    <w:p w14:paraId="095E8EED" w14:textId="1E1DB1FE" w:rsidR="00E25E43" w:rsidRDefault="0080025A">
      <w:pPr>
        <w:pStyle w:val="AWI-Standard"/>
        <w:rPr>
          <w:lang w:eastAsia="zh-CN"/>
        </w:rPr>
      </w:pPr>
      <w:bookmarkStart w:id="6" w:name="_Hlk200783410"/>
      <w:r>
        <w:t xml:space="preserve">The system has successfully completed functional and performance testing under laboratory conditions. Full-scale validation tests </w:t>
      </w:r>
      <w:r>
        <w:rPr>
          <w:rFonts w:hint="eastAsia"/>
          <w:lang w:eastAsia="zh-CN"/>
        </w:rPr>
        <w:t>of</w:t>
      </w:r>
      <w:r w:rsidR="0005321E">
        <w:rPr>
          <w:lang w:eastAsia="zh-CN"/>
        </w:rPr>
        <w:t xml:space="preserve"> </w:t>
      </w:r>
      <w:r>
        <w:rPr>
          <w:lang w:val="de-DE" w:eastAsia="zh-CN"/>
        </w:rPr>
        <w:t>DEEP RAD</w:t>
      </w:r>
      <w:r>
        <w:rPr>
          <w:rFonts w:hint="eastAsia"/>
          <w:lang w:val="de-DE" w:eastAsia="zh-CN"/>
        </w:rPr>
        <w:t xml:space="preserve"> </w:t>
      </w:r>
      <w:r>
        <w:t>are scheduled for the summer of 2025</w:t>
      </w:r>
      <w:bookmarkEnd w:id="6"/>
      <w:r>
        <w:rPr>
          <w:rFonts w:hint="eastAsia"/>
          <w:lang w:eastAsia="zh-CN"/>
        </w:rPr>
        <w:t>.</w:t>
      </w:r>
    </w:p>
    <w:p w14:paraId="0AE3E6B7" w14:textId="77777777" w:rsidR="00F16550" w:rsidRDefault="00F16550">
      <w:pPr>
        <w:pStyle w:val="AWI-Standard"/>
        <w:rPr>
          <w:lang w:eastAsia="zh-CN"/>
        </w:rPr>
      </w:pPr>
    </w:p>
    <w:p w14:paraId="0B9DCBC7" w14:textId="77777777" w:rsidR="00E25E43" w:rsidRDefault="0080025A">
      <w:pPr>
        <w:pStyle w:val="AWI-Heading4"/>
      </w:pPr>
      <w:r>
        <w:t xml:space="preserve">References </w:t>
      </w:r>
    </w:p>
    <w:p w14:paraId="3F9F552E" w14:textId="77777777" w:rsidR="00E25E43" w:rsidRDefault="0080025A">
      <w:pPr>
        <w:pStyle w:val="AWI-References"/>
      </w:pPr>
      <w:r>
        <w:t>Peng S, Jiang X, Tang Y, et al. (2021) Recoverable autonomous sonde for subglacial lake exploration: electronic control system design. Annals of Glaciology 62(85-86):263-279. https://doi.org/10.1017/aog.2021.1</w:t>
      </w:r>
    </w:p>
    <w:p w14:paraId="5E938EEA" w14:textId="77777777" w:rsidR="00E25E43" w:rsidRDefault="00E25E43">
      <w:pPr>
        <w:pStyle w:val="AWI-Teacher11pt"/>
      </w:pPr>
    </w:p>
    <w:sectPr w:rsidR="00E25E43">
      <w:footerReference w:type="even" r:id="rId8"/>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BBF2" w14:textId="77777777" w:rsidR="00D96106" w:rsidRDefault="00D96106">
      <w:r>
        <w:separator/>
      </w:r>
    </w:p>
  </w:endnote>
  <w:endnote w:type="continuationSeparator" w:id="0">
    <w:p w14:paraId="173DA9C5" w14:textId="77777777" w:rsidR="00D96106" w:rsidRDefault="00D9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horndale">
    <w:charset w:val="00"/>
    <w:family w:val="auto"/>
    <w:pitch w:val="default"/>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2"/>
      </w:rPr>
      <w:id w:val="1451902462"/>
      <w:docPartObj>
        <w:docPartGallery w:val="Page Numbers (Bottom of Page)"/>
        <w:docPartUnique/>
      </w:docPartObj>
    </w:sdtPr>
    <w:sdtContent>
      <w:p w14:paraId="2250C197" w14:textId="77777777" w:rsidR="00E25E43" w:rsidRDefault="0080025A">
        <w:pPr>
          <w:pStyle w:val="a8"/>
          <w:framePr w:wrap="none" w:vAnchor="text" w:hAnchor="margin" w:xAlign="center" w:y="1"/>
          <w:rPr>
            <w:rStyle w:val="aff2"/>
          </w:rPr>
        </w:pPr>
        <w:r>
          <w:rPr>
            <w:rStyle w:val="aff2"/>
          </w:rPr>
          <w:fldChar w:fldCharType="begin"/>
        </w:r>
        <w:r>
          <w:rPr>
            <w:rStyle w:val="aff2"/>
          </w:rPr>
          <w:instrText xml:space="preserve"> PAGE </w:instrText>
        </w:r>
        <w:r>
          <w:rPr>
            <w:rStyle w:val="aff2"/>
          </w:rPr>
          <w:fldChar w:fldCharType="end"/>
        </w:r>
      </w:p>
    </w:sdtContent>
  </w:sdt>
  <w:p w14:paraId="0F1F89B0" w14:textId="77777777" w:rsidR="00E25E43" w:rsidRDefault="00E25E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C1B1" w14:textId="77777777" w:rsidR="00D96106" w:rsidRDefault="00D96106">
      <w:r>
        <w:separator/>
      </w:r>
    </w:p>
  </w:footnote>
  <w:footnote w:type="continuationSeparator" w:id="0">
    <w:p w14:paraId="4EE27BBF" w14:textId="77777777" w:rsidR="00D96106" w:rsidRDefault="00D9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1"/>
      <w:lvlText w:val="%1."/>
      <w:lvlJc w:val="left"/>
      <w:pPr>
        <w:tabs>
          <w:tab w:val="num" w:pos="0"/>
        </w:tabs>
        <w:ind w:left="851" w:hanging="851"/>
      </w:pPr>
    </w:lvl>
    <w:lvl w:ilvl="1">
      <w:start w:val="1"/>
      <w:numFmt w:val="decimal"/>
      <w:pStyle w:val="2"/>
      <w:lvlText w:val="%1.%2."/>
      <w:lvlJc w:val="left"/>
      <w:pPr>
        <w:tabs>
          <w:tab w:val="num" w:pos="0"/>
        </w:tabs>
        <w:ind w:left="792" w:hanging="432"/>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204634">
    <w:abstractNumId w:val="10"/>
  </w:num>
  <w:num w:numId="2" w16cid:durableId="611715726">
    <w:abstractNumId w:val="25"/>
  </w:num>
  <w:num w:numId="3" w16cid:durableId="1962373941">
    <w:abstractNumId w:val="22"/>
  </w:num>
  <w:num w:numId="4" w16cid:durableId="1901790555">
    <w:abstractNumId w:val="19"/>
  </w:num>
  <w:num w:numId="5" w16cid:durableId="1863131646">
    <w:abstractNumId w:val="0"/>
  </w:num>
  <w:num w:numId="6" w16cid:durableId="146675102">
    <w:abstractNumId w:val="1"/>
  </w:num>
  <w:num w:numId="7" w16cid:durableId="912398965">
    <w:abstractNumId w:val="2"/>
  </w:num>
  <w:num w:numId="8" w16cid:durableId="446629826">
    <w:abstractNumId w:val="3"/>
  </w:num>
  <w:num w:numId="9" w16cid:durableId="1201211908">
    <w:abstractNumId w:val="8"/>
  </w:num>
  <w:num w:numId="10" w16cid:durableId="1607467301">
    <w:abstractNumId w:val="4"/>
  </w:num>
  <w:num w:numId="11" w16cid:durableId="29838342">
    <w:abstractNumId w:val="5"/>
  </w:num>
  <w:num w:numId="12" w16cid:durableId="989674916">
    <w:abstractNumId w:val="6"/>
  </w:num>
  <w:num w:numId="13" w16cid:durableId="1200321803">
    <w:abstractNumId w:val="7"/>
  </w:num>
  <w:num w:numId="14" w16cid:durableId="835801587">
    <w:abstractNumId w:val="9"/>
  </w:num>
  <w:num w:numId="15" w16cid:durableId="1523782582">
    <w:abstractNumId w:val="27"/>
  </w:num>
  <w:num w:numId="16" w16cid:durableId="2101482480">
    <w:abstractNumId w:val="16"/>
  </w:num>
  <w:num w:numId="17" w16cid:durableId="2019843879">
    <w:abstractNumId w:val="21"/>
  </w:num>
  <w:num w:numId="18" w16cid:durableId="646280622">
    <w:abstractNumId w:val="11"/>
  </w:num>
  <w:num w:numId="19" w16cid:durableId="824325093">
    <w:abstractNumId w:val="20"/>
  </w:num>
  <w:num w:numId="20" w16cid:durableId="1972704621">
    <w:abstractNumId w:val="15"/>
  </w:num>
  <w:num w:numId="21" w16cid:durableId="201065537">
    <w:abstractNumId w:val="17"/>
  </w:num>
  <w:num w:numId="22" w16cid:durableId="1117139675">
    <w:abstractNumId w:val="12"/>
  </w:num>
  <w:num w:numId="23" w16cid:durableId="490633522">
    <w:abstractNumId w:val="13"/>
  </w:num>
  <w:num w:numId="24" w16cid:durableId="853223914">
    <w:abstractNumId w:val="18"/>
  </w:num>
  <w:num w:numId="25" w16cid:durableId="2050255967">
    <w:abstractNumId w:val="28"/>
  </w:num>
  <w:num w:numId="26" w16cid:durableId="1296443735">
    <w:abstractNumId w:val="24"/>
  </w:num>
  <w:num w:numId="27" w16cid:durableId="1986930086">
    <w:abstractNumId w:val="23"/>
  </w:num>
  <w:num w:numId="28" w16cid:durableId="1993828852">
    <w:abstractNumId w:val="14"/>
  </w:num>
  <w:num w:numId="29" w16cid:durableId="10550852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43"/>
    <w:rsid w:val="0000570E"/>
    <w:rsid w:val="00023CEB"/>
    <w:rsid w:val="00024941"/>
    <w:rsid w:val="00034E78"/>
    <w:rsid w:val="0005321E"/>
    <w:rsid w:val="00084D94"/>
    <w:rsid w:val="000B0222"/>
    <w:rsid w:val="000F52F5"/>
    <w:rsid w:val="00121466"/>
    <w:rsid w:val="001A605C"/>
    <w:rsid w:val="001C50A5"/>
    <w:rsid w:val="00224979"/>
    <w:rsid w:val="0031581E"/>
    <w:rsid w:val="0032444B"/>
    <w:rsid w:val="00353836"/>
    <w:rsid w:val="003C2777"/>
    <w:rsid w:val="004B3E3E"/>
    <w:rsid w:val="00531E9E"/>
    <w:rsid w:val="00563A55"/>
    <w:rsid w:val="005E4428"/>
    <w:rsid w:val="006A744F"/>
    <w:rsid w:val="007606B6"/>
    <w:rsid w:val="00772A61"/>
    <w:rsid w:val="007A515A"/>
    <w:rsid w:val="007A68AF"/>
    <w:rsid w:val="007C6E85"/>
    <w:rsid w:val="0080025A"/>
    <w:rsid w:val="0099245D"/>
    <w:rsid w:val="00A20E4E"/>
    <w:rsid w:val="00A56AF5"/>
    <w:rsid w:val="00BA2830"/>
    <w:rsid w:val="00BE6727"/>
    <w:rsid w:val="00C01889"/>
    <w:rsid w:val="00C21A2B"/>
    <w:rsid w:val="00C30690"/>
    <w:rsid w:val="00C838FF"/>
    <w:rsid w:val="00CD2D1D"/>
    <w:rsid w:val="00D96106"/>
    <w:rsid w:val="00D965F3"/>
    <w:rsid w:val="00DC6080"/>
    <w:rsid w:val="00DF4598"/>
    <w:rsid w:val="00E25E43"/>
    <w:rsid w:val="00E61C80"/>
    <w:rsid w:val="00E94DD2"/>
    <w:rsid w:val="00EF1932"/>
    <w:rsid w:val="00F00957"/>
    <w:rsid w:val="00F165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7B1BC0"/>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paragraph" w:styleId="1">
    <w:name w:val="heading 1"/>
    <w:basedOn w:val="AWI-Standard"/>
    <w:next w:val="a"/>
    <w:pPr>
      <w:keepNext/>
      <w:keepLines/>
      <w:numPr>
        <w:numId w:val="1"/>
      </w:numPr>
      <w:spacing w:before="480"/>
      <w:outlineLvl w:val="0"/>
    </w:pPr>
    <w:rPr>
      <w:rFonts w:ascii="Calibri" w:hAnsi="Calibri"/>
      <w:b/>
      <w:bCs/>
      <w:color w:val="345A8A"/>
      <w:sz w:val="32"/>
      <w:szCs w:val="32"/>
    </w:rPr>
  </w:style>
  <w:style w:type="paragraph" w:styleId="2">
    <w:name w:val="heading 2"/>
    <w:basedOn w:val="a"/>
    <w:next w:val="a"/>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3">
    <w:name w:val="heading 3"/>
    <w:basedOn w:val="a"/>
    <w:next w:val="a"/>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4">
    <w:name w:val="heading 4"/>
    <w:basedOn w:val="a"/>
    <w:next w:val="a"/>
    <w:pPr>
      <w:keepNext/>
      <w:numPr>
        <w:ilvl w:val="3"/>
        <w:numId w:val="1"/>
      </w:numPr>
      <w:spacing w:after="60"/>
      <w:jc w:val="both"/>
      <w:outlineLvl w:val="3"/>
    </w:pPr>
    <w:rPr>
      <w:rFonts w:ascii="Arial" w:hAnsi="Arial"/>
      <w:b/>
      <w:sz w:val="22"/>
      <w:szCs w:val="20"/>
      <w:lang w:val="en-GB" w:eastAsia="ar-SA"/>
    </w:rPr>
  </w:style>
  <w:style w:type="paragraph" w:styleId="5">
    <w:name w:val="heading 5"/>
    <w:basedOn w:val="a"/>
    <w:next w:val="a"/>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6">
    <w:name w:val="heading 6"/>
    <w:basedOn w:val="a"/>
    <w:next w:val="a"/>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7">
    <w:name w:val="heading 7"/>
    <w:basedOn w:val="a"/>
    <w:next w:val="a"/>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8">
    <w:name w:val="heading 8"/>
    <w:basedOn w:val="a"/>
    <w:next w:val="a"/>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9">
    <w:name w:val="heading 9"/>
    <w:basedOn w:val="a"/>
    <w:next w:val="a"/>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AWI-Standard">
    <w:name w:val="AWI-Standard"/>
    <w:link w:val="AWI-StandardZchn"/>
    <w:uiPriority w:val="99"/>
    <w:qFormat/>
    <w:pPr>
      <w:suppressAutoHyphens/>
      <w:spacing w:after="60"/>
      <w:jc w:val="both"/>
    </w:pPr>
    <w:rPr>
      <w:rFonts w:ascii="Arial" w:hAnsi="Arial"/>
      <w:sz w:val="22"/>
      <w:lang w:val="en-GB" w:eastAsia="ar-SA"/>
    </w:rPr>
  </w:style>
  <w:style w:type="paragraph" w:customStyle="1" w:styleId="AWI-Standard15FZ">
    <w:name w:val="AWI-Standard15FZ"/>
    <w:basedOn w:val="a"/>
    <w:qFormat/>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1"/>
    <w:next w:val="AWI-Standard"/>
    <w:qFormat/>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pPr>
      <w:jc w:val="left"/>
    </w:pPr>
    <w:rPr>
      <w:rFonts w:eastAsia="Times"/>
      <w:b/>
      <w:sz w:val="20"/>
    </w:rPr>
  </w:style>
  <w:style w:type="paragraph" w:customStyle="1" w:styleId="AWI-Verzeichnis1">
    <w:name w:val="AWI-Verzeichnis1"/>
    <w:basedOn w:val="a"/>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pPr>
      <w:spacing w:before="120" w:after="120"/>
      <w:jc w:val="left"/>
    </w:pPr>
    <w:rPr>
      <w:i/>
    </w:rPr>
  </w:style>
  <w:style w:type="paragraph" w:customStyle="1" w:styleId="AWI-Teacher11pt">
    <w:name w:val="AWI-Teacher 11 pt"/>
    <w:basedOn w:val="AWI-Standard"/>
    <w:rPr>
      <w:color w:val="4472C4" w:themeColor="accent1"/>
    </w:rPr>
  </w:style>
  <w:style w:type="paragraph" w:styleId="a4">
    <w:name w:val="Revision"/>
    <w:hidden/>
    <w:uiPriority w:val="99"/>
    <w:semiHidden/>
    <w:rPr>
      <w:rFonts w:ascii="Arial" w:hAnsi="Arial"/>
      <w:sz w:val="22"/>
      <w:lang w:val="en-GB" w:eastAsia="ar-SA"/>
    </w:rPr>
  </w:style>
  <w:style w:type="paragraph" w:styleId="a5">
    <w:name w:val="annotation text"/>
    <w:basedOn w:val="a"/>
    <w:link w:val="a6"/>
    <w:uiPriority w:val="99"/>
    <w:semiHidden/>
    <w:unhideWhenUsed/>
    <w:rPr>
      <w:sz w:val="20"/>
      <w:szCs w:val="20"/>
    </w:rPr>
  </w:style>
  <w:style w:type="character" w:customStyle="1" w:styleId="a6">
    <w:name w:val="批注文字 字符"/>
    <w:basedOn w:val="a0"/>
    <w:link w:val="a5"/>
    <w:uiPriority w:val="99"/>
    <w:semiHidden/>
    <w:qFormat/>
    <w:rPr>
      <w:lang w:eastAsia="en-US"/>
    </w:rPr>
  </w:style>
  <w:style w:type="character" w:styleId="a7">
    <w:name w:val="annotation reference"/>
    <w:basedOn w:val="a0"/>
    <w:uiPriority w:val="99"/>
    <w:semiHidden/>
    <w:unhideWhenUsed/>
    <w:rPr>
      <w:sz w:val="16"/>
      <w:szCs w:val="16"/>
    </w:rPr>
  </w:style>
  <w:style w:type="paragraph" w:styleId="a8">
    <w:name w:val="footer"/>
    <w:basedOn w:val="a"/>
    <w:link w:val="a9"/>
    <w:uiPriority w:val="99"/>
    <w:unhideWhenUsed/>
    <w:pPr>
      <w:tabs>
        <w:tab w:val="center" w:pos="4680"/>
        <w:tab w:val="right" w:pos="9360"/>
      </w:tabs>
    </w:pPr>
  </w:style>
  <w:style w:type="character" w:customStyle="1" w:styleId="a9">
    <w:name w:val="页脚 字符"/>
    <w:basedOn w:val="a0"/>
    <w:link w:val="a8"/>
    <w:uiPriority w:val="99"/>
    <w:rPr>
      <w:sz w:val="24"/>
      <w:szCs w:val="24"/>
      <w:lang w:eastAsia="en-US"/>
    </w:rPr>
  </w:style>
  <w:style w:type="character" w:styleId="aa">
    <w:name w:val="FollowedHyperlink"/>
    <w:basedOn w:val="a0"/>
    <w:uiPriority w:val="99"/>
    <w:semiHidden/>
    <w:unhideWhenUsed/>
    <w:rPr>
      <w:color w:val="954F72" w:themeColor="followedHyperlink"/>
      <w:u w:val="single"/>
    </w:rPr>
  </w:style>
  <w:style w:type="character" w:customStyle="1" w:styleId="NichtaufgelsteErwhnung1">
    <w:name w:val="Nicht aufgelöste Erwähnung1"/>
    <w:basedOn w:val="a0"/>
    <w:uiPriority w:val="99"/>
    <w:semiHidden/>
    <w:unhideWhenUsed/>
    <w:rPr>
      <w:color w:val="605E5C"/>
      <w:shd w:val="clear" w:color="auto" w:fill="E1DFDD"/>
    </w:rPr>
  </w:style>
  <w:style w:type="paragraph" w:styleId="ab">
    <w:name w:val="header"/>
    <w:basedOn w:val="a"/>
    <w:link w:val="ac"/>
    <w:uiPriority w:val="99"/>
    <w:unhideWhenUsed/>
    <w:pPr>
      <w:tabs>
        <w:tab w:val="center" w:pos="4680"/>
        <w:tab w:val="right" w:pos="9360"/>
      </w:tabs>
    </w:pPr>
  </w:style>
  <w:style w:type="character" w:customStyle="1" w:styleId="ac">
    <w:name w:val="页眉 字符"/>
    <w:basedOn w:val="a0"/>
    <w:link w:val="ab"/>
    <w:uiPriority w:val="99"/>
    <w:rPr>
      <w:sz w:val="24"/>
      <w:szCs w:val="24"/>
      <w:lang w:eastAsia="en-US"/>
    </w:rPr>
  </w:style>
  <w:style w:type="paragraph" w:styleId="ad">
    <w:name w:val="No Spacing"/>
    <w:uiPriority w:val="1"/>
    <w:rPr>
      <w:sz w:val="24"/>
      <w:szCs w:val="24"/>
      <w:lang w:eastAsia="en-US"/>
    </w:rPr>
  </w:style>
  <w:style w:type="paragraph" w:styleId="ae">
    <w:name w:val="Title"/>
    <w:basedOn w:val="a"/>
    <w:next w:val="a"/>
    <w:link w:val="af"/>
    <w:uiPriority w:val="10"/>
    <w:pPr>
      <w:contextualSpacing/>
    </w:pPr>
    <w:rPr>
      <w:rFonts w:asciiTheme="majorHAnsi" w:eastAsiaTheme="majorEastAsia" w:hAnsiTheme="majorHAnsi" w:cstheme="majorBidi"/>
      <w:spacing w:val="-10"/>
      <w:kern w:val="28"/>
      <w:sz w:val="56"/>
      <w:szCs w:val="56"/>
    </w:rPr>
  </w:style>
  <w:style w:type="character" w:customStyle="1" w:styleId="af">
    <w:name w:val="标题 字符"/>
    <w:basedOn w:val="a0"/>
    <w:link w:val="ae"/>
    <w:uiPriority w:val="10"/>
    <w:rPr>
      <w:rFonts w:asciiTheme="majorHAnsi" w:eastAsiaTheme="majorEastAsia" w:hAnsiTheme="majorHAnsi" w:cstheme="majorBidi"/>
      <w:spacing w:val="-10"/>
      <w:kern w:val="28"/>
      <w:sz w:val="56"/>
      <w:szCs w:val="56"/>
      <w:lang w:eastAsia="en-US"/>
    </w:rPr>
  </w:style>
  <w:style w:type="paragraph" w:styleId="af0">
    <w:name w:val="Subtitle"/>
    <w:basedOn w:val="a"/>
    <w:next w:val="a"/>
    <w:link w:val="af1"/>
    <w:uiPriority w:val="11"/>
    <w:pPr>
      <w:numPr>
        <w:ilvl w:val="1"/>
      </w:numPr>
      <w:spacing w:after="160"/>
    </w:pPr>
    <w:rPr>
      <w:rFonts w:asciiTheme="minorHAnsi" w:hAnsiTheme="minorHAnsi" w:cstheme="minorBidi"/>
      <w:color w:val="5A5A5A" w:themeColor="text1" w:themeTint="A5"/>
      <w:spacing w:val="15"/>
      <w:sz w:val="22"/>
      <w:szCs w:val="22"/>
    </w:rPr>
  </w:style>
  <w:style w:type="character" w:customStyle="1" w:styleId="af1">
    <w:name w:val="副标题 字符"/>
    <w:basedOn w:val="a0"/>
    <w:link w:val="af0"/>
    <w:uiPriority w:val="11"/>
    <w:rPr>
      <w:rFonts w:asciiTheme="minorHAnsi" w:eastAsiaTheme="minorEastAsia" w:hAnsiTheme="minorHAnsi" w:cstheme="minorBidi"/>
      <w:color w:val="5A5A5A" w:themeColor="text1" w:themeTint="A5"/>
      <w:spacing w:val="15"/>
      <w:sz w:val="22"/>
      <w:szCs w:val="22"/>
      <w:lang w:eastAsia="en-US"/>
    </w:rPr>
  </w:style>
  <w:style w:type="character" w:styleId="af2">
    <w:name w:val="Subtle Emphasis"/>
    <w:basedOn w:val="a0"/>
    <w:uiPriority w:val="19"/>
    <w:rPr>
      <w:i/>
      <w:iCs/>
      <w:color w:val="404040" w:themeColor="text1" w:themeTint="BF"/>
    </w:rPr>
  </w:style>
  <w:style w:type="character" w:styleId="af3">
    <w:name w:val="Emphasis"/>
    <w:basedOn w:val="a0"/>
    <w:uiPriority w:val="20"/>
    <w:rPr>
      <w:i/>
      <w:iCs/>
    </w:rPr>
  </w:style>
  <w:style w:type="character" w:styleId="af4">
    <w:name w:val="Intense Emphasis"/>
    <w:basedOn w:val="a0"/>
    <w:uiPriority w:val="21"/>
    <w:rPr>
      <w:i/>
      <w:iCs/>
      <w:color w:val="4472C4" w:themeColor="accent1"/>
    </w:rPr>
  </w:style>
  <w:style w:type="character" w:styleId="af5">
    <w:name w:val="Strong"/>
    <w:basedOn w:val="a0"/>
    <w:uiPriority w:val="22"/>
    <w:rPr>
      <w:b/>
      <w:bCs/>
    </w:rPr>
  </w:style>
  <w:style w:type="paragraph" w:styleId="af6">
    <w:name w:val="Quote"/>
    <w:basedOn w:val="a"/>
    <w:next w:val="a"/>
    <w:link w:val="af7"/>
    <w:uiPriority w:val="29"/>
    <w:pPr>
      <w:spacing w:before="200" w:after="160"/>
      <w:ind w:left="864" w:right="864"/>
      <w:jc w:val="center"/>
    </w:pPr>
    <w:rPr>
      <w:i/>
      <w:iCs/>
      <w:color w:val="404040" w:themeColor="text1" w:themeTint="BF"/>
    </w:rPr>
  </w:style>
  <w:style w:type="character" w:customStyle="1" w:styleId="af7">
    <w:name w:val="引用 字符"/>
    <w:basedOn w:val="a0"/>
    <w:link w:val="af6"/>
    <w:uiPriority w:val="29"/>
    <w:rPr>
      <w:i/>
      <w:iCs/>
      <w:color w:val="404040" w:themeColor="text1" w:themeTint="BF"/>
      <w:sz w:val="24"/>
      <w:szCs w:val="24"/>
      <w:lang w:eastAsia="en-US"/>
    </w:rPr>
  </w:style>
  <w:style w:type="paragraph" w:styleId="af8">
    <w:name w:val="Intense Quote"/>
    <w:basedOn w:val="a"/>
    <w:next w:val="a"/>
    <w:link w:val="af9"/>
    <w:uiPriority w:val="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9">
    <w:name w:val="明显引用 字符"/>
    <w:basedOn w:val="a0"/>
    <w:link w:val="af8"/>
    <w:uiPriority w:val="30"/>
    <w:rPr>
      <w:i/>
      <w:iCs/>
      <w:color w:val="4472C4" w:themeColor="accent1"/>
      <w:sz w:val="24"/>
      <w:szCs w:val="24"/>
      <w:lang w:eastAsia="en-US"/>
    </w:rPr>
  </w:style>
  <w:style w:type="character" w:styleId="afa">
    <w:name w:val="Subtle Reference"/>
    <w:basedOn w:val="a0"/>
    <w:uiPriority w:val="31"/>
    <w:rPr>
      <w:smallCaps/>
      <w:color w:val="5A5A5A" w:themeColor="text1" w:themeTint="A5"/>
    </w:rPr>
  </w:style>
  <w:style w:type="character" w:styleId="afb">
    <w:name w:val="Intense Reference"/>
    <w:basedOn w:val="a0"/>
    <w:uiPriority w:val="32"/>
    <w:rPr>
      <w:b/>
      <w:bCs/>
      <w:smallCaps/>
      <w:color w:val="4472C4" w:themeColor="accent1"/>
      <w:spacing w:val="5"/>
    </w:rPr>
  </w:style>
  <w:style w:type="character" w:styleId="afc">
    <w:name w:val="Book Title"/>
    <w:basedOn w:val="a0"/>
    <w:uiPriority w:val="33"/>
    <w:rPr>
      <w:b/>
      <w:bCs/>
      <w:i/>
      <w:iCs/>
      <w:spacing w:val="5"/>
    </w:rPr>
  </w:style>
  <w:style w:type="paragraph" w:styleId="afd">
    <w:name w:val="List Paragraph"/>
    <w:basedOn w:val="a"/>
    <w:uiPriority w:val="34"/>
    <w:pPr>
      <w:ind w:left="720"/>
      <w:contextualSpacing/>
    </w:pPr>
  </w:style>
  <w:style w:type="character" w:customStyle="1" w:styleId="apple-converted-space">
    <w:name w:val="apple-converted-space"/>
    <w:basedOn w:val="a0"/>
  </w:style>
  <w:style w:type="paragraph" w:customStyle="1" w:styleId="AWI-Table">
    <w:name w:val="AWI-Table"/>
    <w:basedOn w:val="AWI-TableHeader"/>
    <w:qFormat/>
    <w:rPr>
      <w:b w:val="0"/>
    </w:rPr>
  </w:style>
  <w:style w:type="character" w:customStyle="1" w:styleId="AWI-StandardZchn">
    <w:name w:val="AWI-Standard Zchn"/>
    <w:link w:val="AWI-Standard"/>
    <w:rPr>
      <w:rFonts w:ascii="Arial" w:hAnsi="Arial"/>
      <w:sz w:val="22"/>
      <w:lang w:val="en-GB" w:eastAsia="ar-SA"/>
    </w:rPr>
  </w:style>
  <w:style w:type="table" w:styleId="af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Pr>
      <w:i/>
      <w:color w:val="4472C4" w:themeColor="accent1"/>
      <w:sz w:val="20"/>
    </w:rPr>
  </w:style>
  <w:style w:type="paragraph" w:styleId="aff">
    <w:name w:val="Normal (Web)"/>
    <w:basedOn w:val="a"/>
    <w:uiPriority w:val="99"/>
    <w:semiHidden/>
    <w:unhideWhenUsed/>
    <w:pPr>
      <w:spacing w:before="100" w:beforeAutospacing="1" w:after="100" w:afterAutospacing="1"/>
    </w:pPr>
  </w:style>
  <w:style w:type="paragraph" w:styleId="aff0">
    <w:name w:val="Balloon Text"/>
    <w:basedOn w:val="a"/>
    <w:link w:val="aff1"/>
    <w:uiPriority w:val="99"/>
    <w:semiHidden/>
    <w:unhideWhenUsed/>
    <w:rPr>
      <w:rFonts w:ascii="Segoe UI" w:hAnsi="Segoe UI" w:cs="Segoe UI"/>
      <w:sz w:val="18"/>
      <w:szCs w:val="18"/>
    </w:rPr>
  </w:style>
  <w:style w:type="character" w:customStyle="1" w:styleId="aff1">
    <w:name w:val="批注框文本 字符"/>
    <w:basedOn w:val="a0"/>
    <w:link w:val="aff0"/>
    <w:uiPriority w:val="99"/>
    <w:semiHidden/>
    <w:rPr>
      <w:rFonts w:ascii="Segoe UI" w:hAnsi="Segoe UI" w:cs="Segoe UI"/>
      <w:sz w:val="18"/>
      <w:szCs w:val="18"/>
      <w:lang w:eastAsia="en-US"/>
    </w:rPr>
  </w:style>
  <w:style w:type="paragraph" w:customStyle="1" w:styleId="AWI-Standard15FAWI-Titel">
    <w:name w:val="AWI-Standard15F (AWI-Titel)"/>
    <w:basedOn w:val="a"/>
    <w:uiPriority w:val="99"/>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aff2">
    <w:name w:val="page number"/>
    <w:basedOn w:val="a0"/>
    <w:uiPriority w:val="99"/>
    <w:semiHidden/>
    <w:unhideWhenUsed/>
  </w:style>
  <w:style w:type="numbering" w:customStyle="1" w:styleId="AktuelleListe1">
    <w:name w:val="Aktuelle Liste1"/>
    <w:uiPriority w:val="99"/>
    <w:pPr>
      <w:numPr>
        <w:numId w:val="27"/>
      </w:numPr>
    </w:pPr>
  </w:style>
  <w:style w:type="paragraph" w:customStyle="1" w:styleId="AWI-Image">
    <w:name w:val="AWI-Image"/>
    <w:basedOn w:val="AWI-Captions"/>
    <w:qFormat/>
    <w:pPr>
      <w:spacing w:after="120"/>
    </w:pPr>
  </w:style>
  <w:style w:type="numbering" w:customStyle="1" w:styleId="CurrentList1">
    <w:name w:val="Current List1"/>
    <w:uiPriority w:val="99"/>
    <w:pPr>
      <w:numPr>
        <w:numId w:val="29"/>
      </w:numPr>
    </w:pPr>
  </w:style>
  <w:style w:type="paragraph" w:styleId="aff3">
    <w:name w:val="annotation subject"/>
    <w:basedOn w:val="a5"/>
    <w:next w:val="a5"/>
    <w:link w:val="aff4"/>
    <w:uiPriority w:val="99"/>
    <w:semiHidden/>
    <w:unhideWhenUsed/>
    <w:rPr>
      <w:b/>
      <w:bCs/>
    </w:rPr>
  </w:style>
  <w:style w:type="character" w:customStyle="1" w:styleId="aff4">
    <w:name w:val="批注主题 字符"/>
    <w:basedOn w:val="a6"/>
    <w:link w:val="aff3"/>
    <w:uiPriority w:val="99"/>
    <w:semiHidden/>
    <w:rPr>
      <w:b/>
      <w:bCs/>
      <w:lang w:eastAsia="en-US"/>
    </w:rPr>
  </w:style>
  <w:style w:type="character" w:styleId="aff5">
    <w:name w:val="Unresolved Mention"/>
    <w:basedOn w:val="a0"/>
    <w:uiPriority w:val="99"/>
    <w:semiHidden/>
    <w:unhideWhenUsed/>
    <w:rPr>
      <w:color w:val="605E5C"/>
      <w:shd w:val="clear" w:color="auto" w:fill="E1DFDD"/>
    </w:rPr>
  </w:style>
  <w:style w:type="paragraph" w:customStyle="1" w:styleId="AWI-TeacherHeading11pt">
    <w:name w:val="AWI-Teacher – Heading 11 pt"/>
    <w:basedOn w:val="AWI-Standard"/>
    <w:rPr>
      <w:color w:val="4472C4" w:themeColor="accent1"/>
    </w:rPr>
  </w:style>
  <w:style w:type="paragraph" w:styleId="TOC1">
    <w:name w:val="toc 1"/>
    <w:basedOn w:val="a"/>
    <w:next w:val="a"/>
    <w:autoRedefine/>
    <w:uiPriority w:val="39"/>
    <w:unhideWhenUsed/>
    <w:pPr>
      <w:spacing w:after="100"/>
    </w:pPr>
  </w:style>
  <w:style w:type="paragraph" w:styleId="TOC2">
    <w:name w:val="toc 2"/>
    <w:basedOn w:val="a"/>
    <w:next w:val="a"/>
    <w:autoRedefine/>
    <w:uiPriority w:val="39"/>
    <w:unhideWhenUse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497</Words>
  <Characters>3106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3587</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新雨 苗</cp:lastModifiedBy>
  <cp:revision>12</cp:revision>
  <cp:lastPrinted>1899-12-31T23:00:00Z</cp:lastPrinted>
  <dcterms:created xsi:type="dcterms:W3CDTF">2025-06-14T13:10:00Z</dcterms:created>
  <dcterms:modified xsi:type="dcterms:W3CDTF">2025-06-14T15:02:00Z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