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67954E" w14:textId="438D69DD" w:rsidR="001536C9" w:rsidRDefault="00B66737">
      <w:pPr>
        <w:pStyle w:val="AWI-Captions"/>
        <w:jc w:val="left"/>
      </w:pPr>
      <w:bookmarkStart w:id="0" w:name="_Toc187815268"/>
      <w:bookmarkStart w:id="1" w:name="Bookmark2"/>
      <w:bookmarkStart w:id="2" w:name="OLE_LINK1"/>
      <w:r>
        <w:rPr>
          <w:rFonts w:hint="eastAsia"/>
          <w:lang w:eastAsia="zh-CN"/>
        </w:rPr>
        <w:t xml:space="preserve">Xinyu Miao </w:t>
      </w:r>
      <w:r w:rsidR="00C91EE5">
        <w:t xml:space="preserve">     </w:t>
      </w:r>
      <w:r>
        <w:rPr>
          <w:rFonts w:hint="eastAsia"/>
          <w:lang w:eastAsia="zh-CN"/>
        </w:rPr>
        <w:t>miaoxinyu@hdu.edu.cn</w:t>
      </w:r>
    </w:p>
    <w:p w14:paraId="063F4C82" w14:textId="77777777" w:rsidR="001536C9" w:rsidRDefault="00C91EE5">
      <w:pPr>
        <w:pStyle w:val="AWI-Heading3"/>
      </w:pPr>
      <w:r>
        <w:t>Hot Water Drilling</w:t>
      </w:r>
    </w:p>
    <w:p w14:paraId="4566DD22" w14:textId="77777777" w:rsidR="001536C9" w:rsidRDefault="00C91EE5">
      <w:pPr>
        <w:pStyle w:val="AWI-Heading3"/>
      </w:pPr>
      <w:r>
        <w:t>Oral</w:t>
      </w:r>
    </w:p>
    <w:p w14:paraId="163E4D40" w14:textId="78460169" w:rsidR="001536C9" w:rsidRDefault="00856B16">
      <w:pPr>
        <w:pStyle w:val="AWI-Heading1"/>
      </w:pPr>
      <w:bookmarkStart w:id="3" w:name="OLE_LINK2"/>
      <w:bookmarkStart w:id="4" w:name="_Hlk200745444"/>
      <w:bookmarkEnd w:id="0"/>
      <w:bookmarkEnd w:id="1"/>
      <w:r w:rsidRPr="00856B16">
        <w:t>Deep Rapid Access Drilling</w:t>
      </w:r>
      <w:bookmarkEnd w:id="3"/>
      <w:r w:rsidR="00C91EE5">
        <w:t>: Downhole Drilling Parameter Measurement System Design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1536C9" w14:paraId="59908D9A" w14:textId="77777777">
        <w:tc>
          <w:tcPr>
            <w:tcW w:w="4536" w:type="dxa"/>
            <w:shd w:val="clear" w:color="auto" w:fill="auto"/>
          </w:tcPr>
          <w:p w14:paraId="6F26594D" w14:textId="6D195A3D" w:rsidR="001536C9" w:rsidRPr="00402F89" w:rsidRDefault="00B66737">
            <w:pPr>
              <w:pStyle w:val="AWI-Heading5"/>
              <w:rPr>
                <w:szCs w:val="22"/>
                <w:lang w:eastAsia="zh-CN"/>
              </w:rPr>
            </w:pPr>
            <w:bookmarkStart w:id="5" w:name="_Toc197609195"/>
            <w:bookmarkStart w:id="6" w:name="_Toc197610084"/>
            <w:bookmarkEnd w:id="4"/>
            <w:r w:rsidRPr="00B66737">
              <w:t>Xinyu Miao</w:t>
            </w:r>
            <w:r w:rsidRPr="00B66737" w:rsidDel="00B66737">
              <w:t xml:space="preserve"> </w:t>
            </w:r>
            <w:r w:rsidR="00C91EE5">
              <w:rPr>
                <w:vertAlign w:val="superscript"/>
              </w:rPr>
              <w:t>1</w:t>
            </w:r>
            <w:r w:rsidR="00C91EE5">
              <w:t xml:space="preserve">, </w:t>
            </w:r>
            <w:proofErr w:type="spellStart"/>
            <w:r w:rsidR="00402F89" w:rsidRPr="00402F89">
              <w:t>Haibin</w:t>
            </w:r>
            <w:proofErr w:type="spellEnd"/>
            <w:r w:rsidR="00402F89" w:rsidRPr="00402F89">
              <w:t xml:space="preserve"> Yu</w:t>
            </w:r>
            <w:r w:rsidR="00402F89">
              <w:rPr>
                <w:rFonts w:hint="eastAsia"/>
                <w:lang w:eastAsia="zh-CN"/>
              </w:rPr>
              <w:t xml:space="preserve"> </w:t>
            </w:r>
            <w:r w:rsidR="00C91EE5">
              <w:rPr>
                <w:vertAlign w:val="superscript"/>
              </w:rPr>
              <w:t>1</w:t>
            </w:r>
            <w:r w:rsidR="00402F89">
              <w:rPr>
                <w:rFonts w:hint="eastAsia"/>
                <w:vertAlign w:val="superscript"/>
                <w:lang w:eastAsia="zh-CN"/>
              </w:rPr>
              <w:t>,2</w:t>
            </w:r>
            <w:r w:rsidR="00C91EE5">
              <w:t xml:space="preserve">, </w:t>
            </w:r>
            <w:r w:rsidR="00402F89" w:rsidRPr="00402F89">
              <w:t xml:space="preserve">Shilin Peng </w:t>
            </w:r>
            <w:bookmarkEnd w:id="5"/>
            <w:bookmarkEnd w:id="6"/>
            <w:r w:rsidR="00402F89">
              <w:rPr>
                <w:rFonts w:hint="eastAsia"/>
                <w:vertAlign w:val="superscript"/>
                <w:lang w:eastAsia="zh-CN"/>
              </w:rPr>
              <w:t>1</w:t>
            </w:r>
            <w:r w:rsidR="00402F89">
              <w:t xml:space="preserve">, </w:t>
            </w:r>
            <w:r w:rsidR="00402F89">
              <w:rPr>
                <w:rFonts w:hint="eastAsia"/>
                <w:lang w:eastAsia="zh-CN"/>
              </w:rPr>
              <w:t xml:space="preserve">Zhenyan Lin </w:t>
            </w:r>
            <w:r w:rsidR="00402F89">
              <w:rPr>
                <w:rFonts w:hint="eastAsia"/>
                <w:vertAlign w:val="superscript"/>
                <w:lang w:eastAsia="zh-CN"/>
              </w:rPr>
              <w:t>1</w:t>
            </w:r>
            <w:r w:rsidR="00402F89">
              <w:t xml:space="preserve">, </w:t>
            </w:r>
            <w:proofErr w:type="spellStart"/>
            <w:r w:rsidR="00402F89">
              <w:rPr>
                <w:rFonts w:hint="eastAsia"/>
                <w:lang w:eastAsia="zh-CN"/>
              </w:rPr>
              <w:t>Rongsheng</w:t>
            </w:r>
            <w:proofErr w:type="spellEnd"/>
            <w:r w:rsidR="00402F89">
              <w:rPr>
                <w:rFonts w:hint="eastAsia"/>
                <w:lang w:eastAsia="zh-CN"/>
              </w:rPr>
              <w:t xml:space="preserve"> Jiang </w:t>
            </w:r>
            <w:r w:rsidR="00402F89">
              <w:rPr>
                <w:rFonts w:hint="eastAsia"/>
                <w:vertAlign w:val="superscript"/>
                <w:lang w:eastAsia="zh-CN"/>
              </w:rPr>
              <w:t>1</w:t>
            </w:r>
            <w:r w:rsidR="00402F89">
              <w:t xml:space="preserve">, </w:t>
            </w:r>
            <w:r w:rsidR="00402F89">
              <w:rPr>
                <w:rFonts w:hint="eastAsia"/>
                <w:lang w:eastAsia="zh-CN"/>
              </w:rPr>
              <w:t>Xiao Jiang</w:t>
            </w:r>
            <w:r w:rsidR="00402F89" w:rsidRPr="00402F89">
              <w:t xml:space="preserve"> </w:t>
            </w:r>
            <w:r w:rsidR="00402F89">
              <w:rPr>
                <w:rFonts w:hint="eastAsia"/>
                <w:vertAlign w:val="superscript"/>
                <w:lang w:eastAsia="zh-CN"/>
              </w:rPr>
              <w:t>1</w:t>
            </w:r>
            <w:r w:rsidR="00402F89">
              <w:t>,</w:t>
            </w:r>
            <w:r w:rsidR="00835B4A" w:rsidRPr="00E21305">
              <w:rPr>
                <w:sz w:val="21"/>
              </w:rPr>
              <w:t xml:space="preserve"> Pavel Talalay</w:t>
            </w:r>
            <w:r w:rsidR="00835B4A">
              <w:rPr>
                <w:vertAlign w:val="superscript"/>
                <w:lang w:eastAsia="zh-CN"/>
              </w:rPr>
              <w:t xml:space="preserve"> 3</w:t>
            </w:r>
            <w:r w:rsidR="00835B4A">
              <w:rPr>
                <w:rFonts w:hint="eastAsia"/>
                <w:lang w:eastAsia="zh-CN"/>
              </w:rPr>
              <w:t>,</w:t>
            </w:r>
            <w:r w:rsidR="00402F89">
              <w:t xml:space="preserve"> </w:t>
            </w:r>
            <w:proofErr w:type="spellStart"/>
            <w:r w:rsidR="00793A29">
              <w:rPr>
                <w:rFonts w:hint="eastAsia"/>
                <w:lang w:eastAsia="zh-CN"/>
              </w:rPr>
              <w:t>Xiaopeng</w:t>
            </w:r>
            <w:proofErr w:type="spellEnd"/>
            <w:r w:rsidR="00793A29">
              <w:rPr>
                <w:rFonts w:hint="eastAsia"/>
                <w:lang w:eastAsia="zh-CN"/>
              </w:rPr>
              <w:t xml:space="preserve"> Fan </w:t>
            </w:r>
            <w:r w:rsidR="00793A29">
              <w:rPr>
                <w:vertAlign w:val="superscript"/>
                <w:lang w:eastAsia="zh-CN"/>
              </w:rPr>
              <w:t>3</w:t>
            </w:r>
            <w:r w:rsidR="00793A29">
              <w:rPr>
                <w:rFonts w:hint="eastAsia"/>
                <w:lang w:eastAsia="zh-CN"/>
              </w:rPr>
              <w:t>,</w:t>
            </w:r>
            <w:r w:rsidR="00793A29">
              <w:rPr>
                <w:lang w:eastAsia="zh-CN"/>
              </w:rPr>
              <w:t xml:space="preserve"> </w:t>
            </w:r>
            <w:r w:rsidR="001015D4">
              <w:rPr>
                <w:lang w:eastAsia="zh-CN"/>
              </w:rPr>
              <w:t>Da Gong</w:t>
            </w:r>
            <w:r w:rsidR="001015D4">
              <w:rPr>
                <w:rFonts w:hint="eastAsia"/>
                <w:lang w:eastAsia="zh-CN"/>
              </w:rPr>
              <w:t xml:space="preserve"> </w:t>
            </w:r>
            <w:r w:rsidR="001015D4">
              <w:rPr>
                <w:vertAlign w:val="superscript"/>
                <w:lang w:eastAsia="zh-CN"/>
              </w:rPr>
              <w:t>3</w:t>
            </w:r>
            <w:r w:rsidR="001015D4">
              <w:rPr>
                <w:lang w:eastAsia="zh-CN"/>
              </w:rPr>
              <w:t xml:space="preserve">, </w:t>
            </w:r>
            <w:proofErr w:type="spellStart"/>
            <w:r w:rsidR="00402F89">
              <w:rPr>
                <w:rFonts w:hint="eastAsia"/>
                <w:lang w:eastAsia="zh-CN"/>
              </w:rPr>
              <w:t>Jianguang</w:t>
            </w:r>
            <w:proofErr w:type="spellEnd"/>
            <w:r w:rsidR="00402F89">
              <w:rPr>
                <w:rFonts w:hint="eastAsia"/>
                <w:lang w:eastAsia="zh-CN"/>
              </w:rPr>
              <w:t xml:space="preserve"> Shi</w:t>
            </w:r>
            <w:r w:rsidR="00402F89" w:rsidRPr="00402F89">
              <w:t xml:space="preserve"> </w:t>
            </w:r>
            <w:proofErr w:type="gramStart"/>
            <w:r w:rsidR="00402F89">
              <w:rPr>
                <w:rFonts w:hint="eastAsia"/>
                <w:vertAlign w:val="superscript"/>
                <w:lang w:eastAsia="zh-CN"/>
              </w:rPr>
              <w:t>1,*</w:t>
            </w:r>
            <w:proofErr w:type="gramEnd"/>
          </w:p>
          <w:p w14:paraId="2D3CE2FF" w14:textId="77777777" w:rsidR="001536C9" w:rsidRPr="00667479" w:rsidRDefault="001536C9">
            <w:pPr>
              <w:pStyle w:val="AWI-Participants"/>
              <w:rPr>
                <w:vertAlign w:val="superscript"/>
              </w:rPr>
            </w:pPr>
          </w:p>
        </w:tc>
        <w:tc>
          <w:tcPr>
            <w:tcW w:w="4533" w:type="dxa"/>
            <w:shd w:val="clear" w:color="auto" w:fill="auto"/>
          </w:tcPr>
          <w:p w14:paraId="13DD2C94" w14:textId="22D2B593" w:rsidR="001536C9" w:rsidRDefault="00C91EE5">
            <w:pPr>
              <w:pStyle w:val="AWI-Participants"/>
              <w:rPr>
                <w:lang w:eastAsia="zh-CN"/>
              </w:rPr>
            </w:pPr>
            <w:r>
              <w:rPr>
                <w:vertAlign w:val="superscript"/>
              </w:rPr>
              <w:t>1</w:t>
            </w:r>
            <w:r w:rsidR="00402F89">
              <w:t xml:space="preserve"> </w:t>
            </w:r>
            <w:r w:rsidR="00402F89" w:rsidRPr="00402F89">
              <w:t xml:space="preserve">School of Electronics and Information, Hangzhou </w:t>
            </w:r>
            <w:proofErr w:type="spellStart"/>
            <w:r w:rsidR="00402F89" w:rsidRPr="00402F89">
              <w:t>Dianzi</w:t>
            </w:r>
            <w:proofErr w:type="spellEnd"/>
            <w:r w:rsidR="00402F89" w:rsidRPr="00402F89">
              <w:t xml:space="preserve"> University, Hangzhou</w:t>
            </w:r>
            <w:r>
              <w:t xml:space="preserve">, </w:t>
            </w:r>
            <w:r w:rsidR="00402F89">
              <w:rPr>
                <w:rFonts w:hint="eastAsia"/>
                <w:lang w:eastAsia="zh-CN"/>
              </w:rPr>
              <w:t xml:space="preserve">China </w:t>
            </w:r>
          </w:p>
          <w:p w14:paraId="58C3E4C0" w14:textId="77777777" w:rsidR="001536C9" w:rsidRDefault="00C91EE5">
            <w:pPr>
              <w:pStyle w:val="AWI-Participants"/>
              <w:rPr>
                <w:lang w:eastAsia="zh-CN"/>
              </w:rPr>
            </w:pPr>
            <w:r>
              <w:rPr>
                <w:vertAlign w:val="superscript"/>
              </w:rPr>
              <w:t>2</w:t>
            </w:r>
            <w:r w:rsidR="00402F89">
              <w:t xml:space="preserve"> </w:t>
            </w:r>
            <w:r w:rsidR="00402F89" w:rsidRPr="00402F89">
              <w:t>Ningbo Institute of Oceanography, Ningbo</w:t>
            </w:r>
            <w:r w:rsidR="00402F89">
              <w:rPr>
                <w:rFonts w:hint="eastAsia"/>
                <w:lang w:eastAsia="zh-CN"/>
              </w:rPr>
              <w:t>,</w:t>
            </w:r>
            <w:r>
              <w:t xml:space="preserve"> C</w:t>
            </w:r>
            <w:r w:rsidR="00402F89">
              <w:rPr>
                <w:rFonts w:hint="eastAsia"/>
                <w:lang w:eastAsia="zh-CN"/>
              </w:rPr>
              <w:t xml:space="preserve">hina </w:t>
            </w:r>
          </w:p>
          <w:p w14:paraId="2703D85F" w14:textId="38EC1C72" w:rsidR="00D22D93" w:rsidRPr="00D22D93" w:rsidRDefault="00D22D93" w:rsidP="00D22D93">
            <w:pPr>
              <w:pStyle w:val="AWI-Participants"/>
            </w:pPr>
            <w:r>
              <w:rPr>
                <w:vertAlign w:val="superscript"/>
              </w:rPr>
              <w:t>3</w:t>
            </w:r>
            <w:r>
              <w:t xml:space="preserve"> </w:t>
            </w:r>
            <w:r w:rsidRPr="001C50A5">
              <w:t>College of Construction Engineering, Jilin University, Changchun, China</w:t>
            </w:r>
          </w:p>
        </w:tc>
      </w:tr>
    </w:tbl>
    <w:p w14:paraId="199525AA" w14:textId="77777777" w:rsidR="001536C9" w:rsidRDefault="001536C9">
      <w:pPr>
        <w:pStyle w:val="AWI-Standard"/>
      </w:pPr>
    </w:p>
    <w:p w14:paraId="6992D007" w14:textId="5FFD22B0" w:rsidR="007C4A79" w:rsidRDefault="00C91EE5">
      <w:pPr>
        <w:pStyle w:val="AWI-Standard"/>
      </w:pPr>
      <w:r>
        <w:t xml:space="preserve">Hot water drilling technology, characterized by high efficiency, minimal environmental disturbance, and rapid penetration, has become a key method for subglacial lake exploration in polar regions. However, current </w:t>
      </w:r>
      <w:bookmarkStart w:id="7" w:name="OLE_LINK9"/>
      <w:r>
        <w:t>hot water drilling system</w:t>
      </w:r>
      <w:bookmarkEnd w:id="7"/>
      <w:r>
        <w:t>s still face significant challenges in deep operations</w:t>
      </w:r>
      <w:r w:rsidR="00C460D1" w:rsidRPr="00C460D1">
        <w:rPr>
          <w:lang w:val="de-DE"/>
        </w:rPr>
        <w:t xml:space="preserve"> exceeding 4000 meters</w:t>
      </w:r>
      <w:r>
        <w:t xml:space="preserve">, such as long communication distances, real-time monitoring of borehole conditions, and spatial constraints in system integration. To address these challenges under the specific conditions of Antarctic ice sheet drilling, </w:t>
      </w:r>
      <w:bookmarkStart w:id="8" w:name="OLE_LINK5"/>
      <w:r>
        <w:t xml:space="preserve">this paper presents a systematic solution—a </w:t>
      </w:r>
      <w:r w:rsidR="000B3798">
        <w:t xml:space="preserve">downhole </w:t>
      </w:r>
      <w:r>
        <w:t xml:space="preserve">drilling parameter </w:t>
      </w:r>
      <w:r>
        <w:rPr>
          <w:rFonts w:hint="eastAsia"/>
          <w:lang w:eastAsia="zh-CN"/>
        </w:rPr>
        <w:t xml:space="preserve">monitoring </w:t>
      </w:r>
      <w:r>
        <w:t>system</w:t>
      </w:r>
      <w:r w:rsidR="000B3798">
        <w:t xml:space="preserve"> </w:t>
      </w:r>
      <w:r w:rsidR="000B3798">
        <w:rPr>
          <w:rFonts w:hint="eastAsia"/>
          <w:lang w:eastAsia="zh-CN"/>
        </w:rPr>
        <w:t xml:space="preserve">for </w:t>
      </w:r>
      <w:r w:rsidR="000B3798">
        <w:t xml:space="preserve">hot water drilling, </w:t>
      </w:r>
      <w:r w:rsidR="00B12F0E" w:rsidRPr="00B12F0E">
        <w:rPr>
          <w:lang w:eastAsia="zh-CN"/>
        </w:rPr>
        <w:t>specifically designed for</w:t>
      </w:r>
      <w:r w:rsidR="00A77A5E">
        <w:rPr>
          <w:rFonts w:hint="eastAsia"/>
          <w:lang w:eastAsia="zh-CN"/>
        </w:rPr>
        <w:t xml:space="preserve"> </w:t>
      </w:r>
      <w:r w:rsidR="00B12F0E">
        <w:rPr>
          <w:rFonts w:hint="eastAsia"/>
          <w:lang w:eastAsia="zh-CN"/>
        </w:rPr>
        <w:t>D</w:t>
      </w:r>
      <w:r w:rsidR="000B3798">
        <w:t xml:space="preserve">eep </w:t>
      </w:r>
      <w:r w:rsidR="00B12F0E">
        <w:rPr>
          <w:rFonts w:hint="eastAsia"/>
          <w:lang w:eastAsia="zh-CN"/>
        </w:rPr>
        <w:t>R</w:t>
      </w:r>
      <w:r w:rsidR="000B3798">
        <w:t xml:space="preserve">apid </w:t>
      </w:r>
      <w:r w:rsidR="00B12F0E">
        <w:rPr>
          <w:rFonts w:hint="eastAsia"/>
          <w:lang w:eastAsia="zh-CN"/>
        </w:rPr>
        <w:t>A</w:t>
      </w:r>
      <w:r w:rsidR="000B3798">
        <w:t xml:space="preserve">ccess </w:t>
      </w:r>
      <w:r w:rsidR="00B12F0E">
        <w:rPr>
          <w:rFonts w:hint="eastAsia"/>
          <w:lang w:eastAsia="zh-CN"/>
        </w:rPr>
        <w:t>D</w:t>
      </w:r>
      <w:r w:rsidR="000B3798">
        <w:t>rilling (Deep RAD)</w:t>
      </w:r>
      <w:bookmarkEnd w:id="8"/>
      <w:r>
        <w:t xml:space="preserve">. </w:t>
      </w:r>
      <w:r w:rsidR="007C4A79" w:rsidRPr="007C4A79">
        <w:t>This system, which is one of the core functional units of the hot water drilling operation,</w:t>
      </w:r>
      <w:r w:rsidR="00D16145" w:rsidRPr="00D16145">
        <w:t xml:space="preserve"> provides data support and ensures engineering safet</w:t>
      </w:r>
      <w:r w:rsidR="00D16145">
        <w:rPr>
          <w:rFonts w:hint="eastAsia"/>
          <w:lang w:eastAsia="zh-CN"/>
        </w:rPr>
        <w:t>y.</w:t>
      </w:r>
    </w:p>
    <w:p w14:paraId="70693154" w14:textId="77777777" w:rsidR="001536C9" w:rsidRDefault="00C91EE5">
      <w:pPr>
        <w:pStyle w:val="AWI-Standard"/>
      </w:pPr>
      <w:r>
        <w:t>The system comprises three subsystems: a remote power supply and data transmission system, a central control circuit system, and a distributed sensor system. The distributed sensor system connects to the control circuit via bus interface</w:t>
      </w:r>
      <w:r>
        <w:rPr>
          <w:lang w:val="en-US"/>
        </w:rPr>
        <w:t>s</w:t>
      </w:r>
      <w:r>
        <w:t>, which in turn communicates with the surface through the remote power and data transmission system.</w:t>
      </w:r>
    </w:p>
    <w:p w14:paraId="0E96527D" w14:textId="25997753" w:rsidR="001536C9" w:rsidRDefault="00C460D1">
      <w:pPr>
        <w:pStyle w:val="AWI-Standard"/>
        <w:rPr>
          <w:lang w:eastAsia="zh-CN"/>
        </w:rPr>
      </w:pPr>
      <w:r>
        <w:t xml:space="preserve">The remote power supply and data transmission system provides power and communication to the downhole system through the </w:t>
      </w:r>
      <w:r w:rsidR="00E61755">
        <w:rPr>
          <w:rFonts w:hint="eastAsia"/>
          <w:lang w:eastAsia="zh-CN"/>
        </w:rPr>
        <w:t>wire</w:t>
      </w:r>
      <w:r w:rsidR="00E61755">
        <w:rPr>
          <w:lang w:eastAsia="zh-CN"/>
        </w:rPr>
        <w:t>s embedded in the hose wall</w:t>
      </w:r>
      <w:r>
        <w:t>.</w:t>
      </w:r>
      <w:r w:rsidR="00C91EE5">
        <w:t xml:space="preserve"> An enhanced bus communication architecture was developed for the hot water drilling system, incorporating hardware-level anti-interference designs and optimized communication protocols, enabling stable, long-distance, multi-node data transmission.</w:t>
      </w:r>
    </w:p>
    <w:p w14:paraId="37E73956" w14:textId="6B2D1444" w:rsidR="001536C9" w:rsidRDefault="00C91EE5">
      <w:pPr>
        <w:pStyle w:val="AWI-Standard"/>
      </w:pPr>
      <w:r>
        <w:t>The central control circuit system features a custom</w:t>
      </w:r>
      <w:r>
        <w:rPr>
          <w:rFonts w:hint="eastAsia"/>
          <w:lang w:eastAsia="zh-CN"/>
        </w:rPr>
        <w:t>i</w:t>
      </w:r>
      <w:r>
        <w:rPr>
          <w:lang w:eastAsia="zh-CN"/>
        </w:rPr>
        <w:t>sed</w:t>
      </w:r>
      <w:r>
        <w:t xml:space="preserve"> mainboard based on a microprocessor and a supporting software platform based on an embedded operating system. To address the limited space within the measurement chamber, a slender circuit board and compact watertight connectors were implemented.</w:t>
      </w:r>
    </w:p>
    <w:p w14:paraId="3C8F6D5C" w14:textId="6F198A4E" w:rsidR="001536C9" w:rsidRDefault="00C91EE5">
      <w:pPr>
        <w:pStyle w:val="AWI-Standard"/>
      </w:pPr>
      <w:r>
        <w:t xml:space="preserve">The distributed sensor system forms the core of the entire measurement solution. </w:t>
      </w:r>
      <w:r w:rsidR="00BA5C48" w:rsidRPr="00BA5C48">
        <w:t>Temperature and pressure sensors are used to measure the water temperature and pressure inside the borehole and the main hose</w:t>
      </w:r>
      <w:r w:rsidR="00765E8D">
        <w:rPr>
          <w:rFonts w:hint="eastAsia"/>
          <w:lang w:eastAsia="zh-CN"/>
        </w:rPr>
        <w:t>.</w:t>
      </w:r>
      <w:r>
        <w:t xml:space="preserve"> </w:t>
      </w:r>
      <w:r w:rsidR="00765E8D">
        <w:rPr>
          <w:rFonts w:hint="eastAsia"/>
          <w:lang w:eastAsia="zh-CN"/>
        </w:rPr>
        <w:t>A</w:t>
      </w:r>
      <w:r>
        <w:t>n attitude sensor captures the spatial orientation of the drill</w:t>
      </w:r>
      <w:r w:rsidR="00B55AC4">
        <w:rPr>
          <w:rFonts w:hint="eastAsia"/>
          <w:lang w:eastAsia="zh-CN"/>
        </w:rPr>
        <w:t>er</w:t>
      </w:r>
      <w:r>
        <w:t xml:space="preserve">, and </w:t>
      </w:r>
      <w:bookmarkStart w:id="9" w:name="OLE_LINK6"/>
      <w:r>
        <w:t xml:space="preserve">an </w:t>
      </w:r>
      <w:bookmarkStart w:id="10" w:name="OLE_LINK4"/>
      <w:r>
        <w:t xml:space="preserve">ultrasonic </w:t>
      </w:r>
      <w:r w:rsidR="006F5BD2">
        <w:rPr>
          <w:rFonts w:hint="eastAsia"/>
          <w:lang w:eastAsia="zh-CN"/>
        </w:rPr>
        <w:t>sonder</w:t>
      </w:r>
      <w:bookmarkEnd w:id="10"/>
      <w:r w:rsidR="006F5BD2">
        <w:rPr>
          <w:rFonts w:hint="eastAsia"/>
          <w:lang w:eastAsia="zh-CN"/>
        </w:rPr>
        <w:t xml:space="preserve"> </w:t>
      </w:r>
      <w:r>
        <w:t xml:space="preserve">is </w:t>
      </w:r>
      <w:r w:rsidR="008C62F8" w:rsidRPr="008C62F8">
        <w:t xml:space="preserve">utilized </w:t>
      </w:r>
      <w:r>
        <w:t xml:space="preserve">to determine </w:t>
      </w:r>
      <w:r w:rsidR="00B55AC4">
        <w:rPr>
          <w:lang w:eastAsia="zh-CN"/>
        </w:rPr>
        <w:t>the</w:t>
      </w:r>
      <w:r w:rsidR="00B55AC4">
        <w:rPr>
          <w:rFonts w:hint="eastAsia"/>
          <w:lang w:eastAsia="zh-CN"/>
        </w:rPr>
        <w:t xml:space="preserve"> </w:t>
      </w:r>
      <w:r>
        <w:t>borehole diameter.</w:t>
      </w:r>
      <w:r w:rsidR="007C4A79" w:rsidRPr="007C4A79">
        <w:t xml:space="preserve"> </w:t>
      </w:r>
      <w:bookmarkStart w:id="11" w:name="OLE_LINK3"/>
      <w:r w:rsidR="00765E8D">
        <w:rPr>
          <w:rFonts w:hint="eastAsia"/>
          <w:lang w:eastAsia="zh-CN"/>
        </w:rPr>
        <w:t>T</w:t>
      </w:r>
      <w:r w:rsidR="007C4A79" w:rsidRPr="007C4A79">
        <w:t xml:space="preserve">o </w:t>
      </w:r>
      <w:r w:rsidR="00B66737" w:rsidRPr="00B66737">
        <w:rPr>
          <w:lang w:val="de-DE"/>
        </w:rPr>
        <w:t>further</w:t>
      </w:r>
      <w:r w:rsidR="00B66737">
        <w:rPr>
          <w:rFonts w:hint="eastAsia"/>
          <w:lang w:val="de-DE" w:eastAsia="zh-CN"/>
        </w:rPr>
        <w:t xml:space="preserve"> </w:t>
      </w:r>
      <w:r w:rsidR="00765E8D">
        <w:rPr>
          <w:rFonts w:hint="eastAsia"/>
          <w:lang w:eastAsia="zh-CN"/>
        </w:rPr>
        <w:t xml:space="preserve">enhance </w:t>
      </w:r>
      <w:r w:rsidR="00765E8D" w:rsidRPr="007C4A79">
        <w:t xml:space="preserve">the </w:t>
      </w:r>
      <w:r w:rsidR="00765E8D" w:rsidRPr="00D16145">
        <w:t>reliability</w:t>
      </w:r>
      <w:r w:rsidR="00765E8D" w:rsidRPr="007C4A79">
        <w:t xml:space="preserve"> of the </w:t>
      </w:r>
      <w:r w:rsidR="00D35D01">
        <w:t xml:space="preserve">borehole </w:t>
      </w:r>
      <w:r w:rsidR="00765E8D">
        <w:t xml:space="preserve">diameter </w:t>
      </w:r>
      <w:r w:rsidR="00765E8D">
        <w:rPr>
          <w:rFonts w:hint="eastAsia"/>
          <w:lang w:eastAsia="zh-CN"/>
        </w:rPr>
        <w:t>measurements</w:t>
      </w:r>
      <w:r w:rsidR="007C4A79" w:rsidRPr="007C4A79">
        <w:t xml:space="preserve">, a displacement sensor </w:t>
      </w:r>
      <w:r w:rsidR="006F5BD2">
        <w:rPr>
          <w:rFonts w:hint="eastAsia"/>
          <w:lang w:eastAsia="zh-CN"/>
        </w:rPr>
        <w:t xml:space="preserve">is </w:t>
      </w:r>
      <w:r w:rsidR="00295CB8" w:rsidRPr="00295CB8">
        <w:rPr>
          <w:lang w:eastAsia="zh-CN"/>
        </w:rPr>
        <w:t xml:space="preserve">additionally </w:t>
      </w:r>
      <w:r w:rsidR="006F5BD2">
        <w:rPr>
          <w:rFonts w:hint="eastAsia"/>
          <w:lang w:eastAsia="zh-CN"/>
        </w:rPr>
        <w:t xml:space="preserve">employed to </w:t>
      </w:r>
      <w:r w:rsidR="008C62F8">
        <w:rPr>
          <w:rFonts w:hint="eastAsia"/>
          <w:lang w:eastAsia="zh-CN"/>
        </w:rPr>
        <w:t xml:space="preserve">provide a mechanical measurement of </w:t>
      </w:r>
      <w:r w:rsidR="007C4A79" w:rsidRPr="007C4A79">
        <w:t>the borehole diameter.</w:t>
      </w:r>
      <w:bookmarkEnd w:id="9"/>
      <w:bookmarkEnd w:id="11"/>
    </w:p>
    <w:p w14:paraId="2D059140" w14:textId="2B49D15C" w:rsidR="001536C9" w:rsidRDefault="00C91EE5">
      <w:pPr>
        <w:pStyle w:val="AWI-Standard"/>
        <w:rPr>
          <w:rFonts w:hint="eastAsia"/>
          <w:lang w:eastAsia="zh-CN"/>
        </w:rPr>
      </w:pPr>
      <w:r>
        <w:t>The system has successfully completed functional and performance test under laboratory conditions. Full-scale validation tests of DEEP RAD are scheduled for the summer of 2025.</w:t>
      </w:r>
    </w:p>
    <w:p w14:paraId="49A2213C" w14:textId="77777777" w:rsidR="001536C9" w:rsidRDefault="00C91EE5">
      <w:pPr>
        <w:pStyle w:val="AWI-Heading4"/>
      </w:pPr>
      <w:r>
        <w:lastRenderedPageBreak/>
        <w:t xml:space="preserve">References </w:t>
      </w:r>
    </w:p>
    <w:p w14:paraId="6BE1E498" w14:textId="77777777" w:rsidR="001536C9" w:rsidRDefault="00C91EE5">
      <w:pPr>
        <w:pStyle w:val="AWI-References"/>
      </w:pPr>
      <w:bookmarkStart w:id="12" w:name="_Hlk200783235"/>
      <w:bookmarkEnd w:id="2"/>
      <w:r>
        <w:t>Peng S, Jiang X, Tang Y, et al. (2021) Recoverable autonomous sonde for subglacial lake exploration: electronic control system design. Annals of Glaciology 62(85-86):263-279. https://doi.org/10.1017/aog.2021.1</w:t>
      </w:r>
    </w:p>
    <w:bookmarkEnd w:id="12"/>
    <w:p w14:paraId="540B8757" w14:textId="77777777" w:rsidR="001536C9" w:rsidRDefault="00C91EE5">
      <w:pPr>
        <w:pStyle w:val="AWI-References"/>
      </w:pPr>
      <w:r>
        <w:t>Yu H, Zhu T, Jiang X, et al. (2021) Recoverable Autonomous Sonde for subglacial lakes exploration: heating control system design. Annals of Glaciology 62(85-86):280-292. https://doi.org/10.1017/aog.2021.5</w:t>
      </w:r>
    </w:p>
    <w:sectPr w:rsidR="001536C9">
      <w:footerReference w:type="even" r:id="rId8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7D424" w14:textId="77777777" w:rsidR="001962CE" w:rsidRDefault="001962CE">
      <w:r>
        <w:separator/>
      </w:r>
    </w:p>
  </w:endnote>
  <w:endnote w:type="continuationSeparator" w:id="0">
    <w:p w14:paraId="106CE308" w14:textId="77777777" w:rsidR="001962CE" w:rsidRDefault="0019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charset w:val="00"/>
    <w:family w:val="auto"/>
    <w:pitch w:val="default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25079" w14:textId="77777777" w:rsidR="001536C9" w:rsidRDefault="00C91EE5">
    <w:pPr>
      <w:pStyle w:val="a8"/>
      <w:framePr w:wrap="none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end"/>
    </w:r>
  </w:p>
  <w:p w14:paraId="57060BF2" w14:textId="77777777" w:rsidR="001536C9" w:rsidRDefault="001536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0B376" w14:textId="77777777" w:rsidR="001962CE" w:rsidRDefault="001962CE">
      <w:r>
        <w:separator/>
      </w:r>
    </w:p>
  </w:footnote>
  <w:footnote w:type="continuationSeparator" w:id="0">
    <w:p w14:paraId="71CC8D59" w14:textId="77777777" w:rsidR="001962CE" w:rsidRDefault="0019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AB68528A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1" w15:restartNumberingAfterBreak="0">
    <w:nsid w:val="00000002"/>
    <w:multiLevelType w:val="singleLevel"/>
    <w:tmpl w:val="F8CAE466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0000003"/>
    <w:multiLevelType w:val="singleLevel"/>
    <w:tmpl w:val="BC3272AE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3" w15:restartNumberingAfterBreak="0">
    <w:nsid w:val="00000004"/>
    <w:multiLevelType w:val="singleLevel"/>
    <w:tmpl w:val="200233A6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C3AAF4E2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1CFC57CA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77FA333C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FBF459D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851" w:hanging="851"/>
      </w:pPr>
    </w:lvl>
    <w:lvl w:ilvl="1">
      <w:start w:val="1"/>
      <w:numFmt w:val="decimal"/>
      <w:pStyle w:val="2"/>
      <w:lvlText w:val="%1.%2."/>
      <w:lvlJc w:val="left"/>
      <w:pPr>
        <w:tabs>
          <w:tab w:val="left" w:pos="0"/>
        </w:tabs>
        <w:ind w:left="792" w:hanging="432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0" w15:restartNumberingAfterBreak="0">
    <w:nsid w:val="0000000B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00000013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00000017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00000018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CA13B3"/>
    <w:multiLevelType w:val="singleLevel"/>
    <w:tmpl w:val="643A747E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</w:abstractNum>
  <w:num w:numId="1" w16cid:durableId="290138195">
    <w:abstractNumId w:val="9"/>
  </w:num>
  <w:num w:numId="2" w16cid:durableId="2091002350">
    <w:abstractNumId w:val="23"/>
  </w:num>
  <w:num w:numId="3" w16cid:durableId="638464159">
    <w:abstractNumId w:val="10"/>
  </w:num>
  <w:num w:numId="4" w16cid:durableId="1336347629">
    <w:abstractNumId w:val="22"/>
  </w:num>
  <w:num w:numId="5" w16cid:durableId="956567756">
    <w:abstractNumId w:val="25"/>
  </w:num>
  <w:num w:numId="6" w16cid:durableId="1005860622">
    <w:abstractNumId w:val="24"/>
  </w:num>
  <w:num w:numId="7" w16cid:durableId="1754816784">
    <w:abstractNumId w:val="21"/>
  </w:num>
  <w:num w:numId="8" w16cid:durableId="2126461339">
    <w:abstractNumId w:val="18"/>
  </w:num>
  <w:num w:numId="9" w16cid:durableId="1610697218">
    <w:abstractNumId w:val="28"/>
  </w:num>
  <w:num w:numId="10" w16cid:durableId="1977224674">
    <w:abstractNumId w:val="0"/>
  </w:num>
  <w:num w:numId="11" w16cid:durableId="261186404">
    <w:abstractNumId w:val="1"/>
  </w:num>
  <w:num w:numId="12" w16cid:durableId="1477989728">
    <w:abstractNumId w:val="2"/>
  </w:num>
  <w:num w:numId="13" w16cid:durableId="88938442">
    <w:abstractNumId w:val="7"/>
  </w:num>
  <w:num w:numId="14" w16cid:durableId="1748841787">
    <w:abstractNumId w:val="3"/>
  </w:num>
  <w:num w:numId="15" w16cid:durableId="466363788">
    <w:abstractNumId w:val="4"/>
  </w:num>
  <w:num w:numId="16" w16cid:durableId="597102015">
    <w:abstractNumId w:val="5"/>
  </w:num>
  <w:num w:numId="17" w16cid:durableId="1954749347">
    <w:abstractNumId w:val="6"/>
  </w:num>
  <w:num w:numId="18" w16cid:durableId="607011904">
    <w:abstractNumId w:val="8"/>
  </w:num>
  <w:num w:numId="19" w16cid:durableId="371737301">
    <w:abstractNumId w:val="26"/>
  </w:num>
  <w:num w:numId="20" w16cid:durableId="1427263000">
    <w:abstractNumId w:val="15"/>
  </w:num>
  <w:num w:numId="21" w16cid:durableId="438987921">
    <w:abstractNumId w:val="20"/>
  </w:num>
  <w:num w:numId="22" w16cid:durableId="942802363">
    <w:abstractNumId w:val="19"/>
  </w:num>
  <w:num w:numId="23" w16cid:durableId="1719161022">
    <w:abstractNumId w:val="14"/>
  </w:num>
  <w:num w:numId="24" w16cid:durableId="1251739237">
    <w:abstractNumId w:val="16"/>
  </w:num>
  <w:num w:numId="25" w16cid:durableId="1712462214">
    <w:abstractNumId w:val="11"/>
  </w:num>
  <w:num w:numId="26" w16cid:durableId="1301306819">
    <w:abstractNumId w:val="12"/>
  </w:num>
  <w:num w:numId="27" w16cid:durableId="2103184369">
    <w:abstractNumId w:val="17"/>
  </w:num>
  <w:num w:numId="28" w16cid:durableId="178006473">
    <w:abstractNumId w:val="27"/>
  </w:num>
  <w:num w:numId="29" w16cid:durableId="410198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C9"/>
    <w:rsid w:val="00020771"/>
    <w:rsid w:val="000575B2"/>
    <w:rsid w:val="00084BDF"/>
    <w:rsid w:val="00091876"/>
    <w:rsid w:val="000B3798"/>
    <w:rsid w:val="001015D4"/>
    <w:rsid w:val="001536C9"/>
    <w:rsid w:val="001962CE"/>
    <w:rsid w:val="001B049B"/>
    <w:rsid w:val="00243C52"/>
    <w:rsid w:val="00246D89"/>
    <w:rsid w:val="00295CB8"/>
    <w:rsid w:val="00351AD7"/>
    <w:rsid w:val="00353836"/>
    <w:rsid w:val="003549C8"/>
    <w:rsid w:val="00395711"/>
    <w:rsid w:val="00402F89"/>
    <w:rsid w:val="004B7726"/>
    <w:rsid w:val="004F0A38"/>
    <w:rsid w:val="00667479"/>
    <w:rsid w:val="006B1860"/>
    <w:rsid w:val="006F5BD2"/>
    <w:rsid w:val="007606B6"/>
    <w:rsid w:val="00760E85"/>
    <w:rsid w:val="00765E8D"/>
    <w:rsid w:val="007677B5"/>
    <w:rsid w:val="00793A29"/>
    <w:rsid w:val="007B3A0A"/>
    <w:rsid w:val="007C4A79"/>
    <w:rsid w:val="00835B4A"/>
    <w:rsid w:val="00856B16"/>
    <w:rsid w:val="008B309F"/>
    <w:rsid w:val="008C62F8"/>
    <w:rsid w:val="009071C1"/>
    <w:rsid w:val="009C78E9"/>
    <w:rsid w:val="00A77A5E"/>
    <w:rsid w:val="00B12F0E"/>
    <w:rsid w:val="00B55AC4"/>
    <w:rsid w:val="00B66737"/>
    <w:rsid w:val="00B716AA"/>
    <w:rsid w:val="00BA5C48"/>
    <w:rsid w:val="00BC2A66"/>
    <w:rsid w:val="00C12955"/>
    <w:rsid w:val="00C460D1"/>
    <w:rsid w:val="00C91563"/>
    <w:rsid w:val="00C91EE5"/>
    <w:rsid w:val="00CA1546"/>
    <w:rsid w:val="00CF3C8B"/>
    <w:rsid w:val="00D16145"/>
    <w:rsid w:val="00D22D93"/>
    <w:rsid w:val="00D35D01"/>
    <w:rsid w:val="00D77085"/>
    <w:rsid w:val="00DE052C"/>
    <w:rsid w:val="00DE61D2"/>
    <w:rsid w:val="00E61755"/>
    <w:rsid w:val="00E71BDD"/>
    <w:rsid w:val="00F61ACA"/>
    <w:rsid w:val="00F65281"/>
    <w:rsid w:val="00F7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256F7A"/>
  <w15:docId w15:val="{D02DFB99-7A3E-4B70-8A68-873173D0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等线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WI-Standard"/>
    <w:next w:val="a"/>
    <w:uiPriority w:val="9"/>
    <w:qFormat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tabs>
        <w:tab w:val="left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7">
    <w:name w:val="heading 7"/>
    <w:basedOn w:val="a"/>
    <w:next w:val="a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8">
    <w:name w:val="heading 8"/>
    <w:basedOn w:val="a"/>
    <w:next w:val="a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9">
    <w:name w:val="heading 9"/>
    <w:basedOn w:val="a"/>
    <w:next w:val="a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a"/>
    <w:qFormat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1"/>
    <w:next w:val="AWI-Standard"/>
    <w:qFormat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a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"/>
      </w:numPr>
      <w:tabs>
        <w:tab w:val="left" w:pos="0"/>
      </w:tabs>
      <w:outlineLvl w:val="0"/>
    </w:pPr>
  </w:style>
  <w:style w:type="paragraph" w:customStyle="1" w:styleId="AWI-ListDots">
    <w:name w:val="AWI-ListDots"/>
    <w:basedOn w:val="AWI-ListNumbers"/>
    <w:qFormat/>
    <w:pPr>
      <w:numPr>
        <w:numId w:val="3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Pr>
      <w:color w:val="4472C4"/>
    </w:rPr>
  </w:style>
  <w:style w:type="paragraph" w:styleId="a4">
    <w:name w:val="Revision"/>
    <w:uiPriority w:val="99"/>
    <w:rPr>
      <w:rFonts w:ascii="Arial" w:hAnsi="Arial"/>
      <w:sz w:val="22"/>
      <w:lang w:val="en-GB" w:eastAsia="ar-SA"/>
    </w:rPr>
  </w:style>
  <w:style w:type="paragraph" w:styleId="a5">
    <w:name w:val="annotation text"/>
    <w:basedOn w:val="a"/>
    <w:link w:val="a6"/>
    <w:uiPriority w:val="99"/>
    <w:rPr>
      <w:sz w:val="20"/>
      <w:szCs w:val="20"/>
    </w:rPr>
  </w:style>
  <w:style w:type="character" w:customStyle="1" w:styleId="a6">
    <w:name w:val="批注文字 字符"/>
    <w:basedOn w:val="a0"/>
    <w:link w:val="a5"/>
    <w:uiPriority w:val="99"/>
    <w:qFormat/>
    <w:rPr>
      <w:lang w:eastAsia="en-US"/>
    </w:rPr>
  </w:style>
  <w:style w:type="character" w:styleId="a7">
    <w:name w:val="annotation reference"/>
    <w:basedOn w:val="a0"/>
    <w:uiPriority w:val="99"/>
    <w:rPr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Pr>
      <w:sz w:val="24"/>
      <w:szCs w:val="24"/>
      <w:lang w:eastAsia="en-US"/>
    </w:rPr>
  </w:style>
  <w:style w:type="character" w:styleId="aa">
    <w:name w:val="FollowedHyperlink"/>
    <w:basedOn w:val="a0"/>
    <w:uiPriority w:val="99"/>
    <w:rPr>
      <w:color w:val="954F72"/>
      <w:u w:val="single"/>
    </w:rPr>
  </w:style>
  <w:style w:type="character" w:customStyle="1" w:styleId="NichtaufgelsteErwhnung1">
    <w:name w:val="Nicht aufgelöste Erwähnung1"/>
    <w:basedOn w:val="a0"/>
    <w:uiPriority w:val="99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pPr>
      <w:tabs>
        <w:tab w:val="center" w:pos="4680"/>
        <w:tab w:val="right" w:pos="9360"/>
      </w:tabs>
    </w:pPr>
  </w:style>
  <w:style w:type="character" w:customStyle="1" w:styleId="ac">
    <w:name w:val="页眉 字符"/>
    <w:basedOn w:val="a0"/>
    <w:link w:val="ab"/>
    <w:uiPriority w:val="99"/>
    <w:rPr>
      <w:sz w:val="24"/>
      <w:szCs w:val="24"/>
      <w:lang w:eastAsia="en-US"/>
    </w:rPr>
  </w:style>
  <w:style w:type="paragraph" w:styleId="ad">
    <w:name w:val="No Spacing"/>
    <w:uiPriority w:val="1"/>
    <w:rPr>
      <w:sz w:val="24"/>
      <w:szCs w:val="24"/>
      <w:lang w:eastAsia="en-US"/>
    </w:rPr>
  </w:style>
  <w:style w:type="paragraph" w:styleId="ae">
    <w:name w:val="Title"/>
    <w:basedOn w:val="a"/>
    <w:next w:val="a"/>
    <w:link w:val="af"/>
    <w:uiPriority w:val="10"/>
    <w:qFormat/>
    <w:pPr>
      <w:contextualSpacing/>
    </w:pPr>
    <w:rPr>
      <w:rFonts w:ascii="Calibri Light" w:eastAsia="等线 Light" w:hAnsi="Calibri Light" w:cs="宋体"/>
      <w:spacing w:val="-10"/>
      <w:kern w:val="28"/>
      <w:sz w:val="56"/>
      <w:szCs w:val="56"/>
    </w:rPr>
  </w:style>
  <w:style w:type="character" w:customStyle="1" w:styleId="af">
    <w:name w:val="标题 字符"/>
    <w:basedOn w:val="a0"/>
    <w:link w:val="ae"/>
    <w:uiPriority w:val="10"/>
    <w:rPr>
      <w:rFonts w:ascii="Calibri Light" w:eastAsia="等线 Light" w:hAnsi="Calibri Light" w:cs="宋体"/>
      <w:spacing w:val="-10"/>
      <w:kern w:val="28"/>
      <w:sz w:val="56"/>
      <w:szCs w:val="56"/>
      <w:lang w:eastAsia="en-US"/>
    </w:rPr>
  </w:style>
  <w:style w:type="paragraph" w:styleId="af0">
    <w:name w:val="Subtitle"/>
    <w:basedOn w:val="a"/>
    <w:next w:val="a"/>
    <w:link w:val="af1"/>
    <w:uiPriority w:val="11"/>
    <w:qFormat/>
    <w:pPr>
      <w:numPr>
        <w:ilvl w:val="1"/>
      </w:numPr>
      <w:spacing w:after="160"/>
    </w:pPr>
    <w:rPr>
      <w:rFonts w:ascii="Calibri" w:hAnsi="Calibri" w:cs="宋体"/>
      <w:color w:val="5A5A5A"/>
      <w:spacing w:val="15"/>
      <w:sz w:val="22"/>
      <w:szCs w:val="22"/>
    </w:rPr>
  </w:style>
  <w:style w:type="character" w:customStyle="1" w:styleId="af1">
    <w:name w:val="副标题 字符"/>
    <w:basedOn w:val="a0"/>
    <w:link w:val="af0"/>
    <w:uiPriority w:val="11"/>
    <w:rPr>
      <w:rFonts w:ascii="Calibri" w:eastAsia="等线" w:hAnsi="Calibri" w:cs="宋体"/>
      <w:color w:val="5A5A5A"/>
      <w:spacing w:val="15"/>
      <w:sz w:val="22"/>
      <w:szCs w:val="22"/>
      <w:lang w:eastAsia="en-US"/>
    </w:rPr>
  </w:style>
  <w:style w:type="character" w:styleId="af2">
    <w:name w:val="Subtle Emphasis"/>
    <w:basedOn w:val="a0"/>
    <w:uiPriority w:val="19"/>
    <w:rPr>
      <w:i/>
      <w:iCs/>
      <w:color w:val="404040"/>
    </w:rPr>
  </w:style>
  <w:style w:type="character" w:styleId="af3">
    <w:name w:val="Emphasis"/>
    <w:basedOn w:val="a0"/>
    <w:uiPriority w:val="20"/>
    <w:rPr>
      <w:i/>
      <w:iCs/>
    </w:rPr>
  </w:style>
  <w:style w:type="character" w:styleId="af4">
    <w:name w:val="Intense Emphasis"/>
    <w:basedOn w:val="a0"/>
    <w:uiPriority w:val="21"/>
    <w:rPr>
      <w:i/>
      <w:iCs/>
      <w:color w:val="4472C4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styleId="af6">
    <w:name w:val="Quote"/>
    <w:basedOn w:val="a"/>
    <w:next w:val="a"/>
    <w:link w:val="af7"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7">
    <w:name w:val="引用 字符"/>
    <w:basedOn w:val="a0"/>
    <w:link w:val="af6"/>
    <w:uiPriority w:val="29"/>
    <w:rPr>
      <w:i/>
      <w:iCs/>
      <w:color w:val="404040"/>
      <w:sz w:val="24"/>
      <w:szCs w:val="24"/>
      <w:lang w:eastAsia="en-US"/>
    </w:rPr>
  </w:style>
  <w:style w:type="paragraph" w:styleId="af8">
    <w:name w:val="Intense Quote"/>
    <w:basedOn w:val="a"/>
    <w:next w:val="a"/>
    <w:link w:val="af9"/>
    <w:uiPriority w:val="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9">
    <w:name w:val="明显引用 字符"/>
    <w:basedOn w:val="a0"/>
    <w:link w:val="af8"/>
    <w:uiPriority w:val="30"/>
    <w:rPr>
      <w:i/>
      <w:iCs/>
      <w:color w:val="4472C4"/>
      <w:sz w:val="24"/>
      <w:szCs w:val="24"/>
      <w:lang w:eastAsia="en-US"/>
    </w:rPr>
  </w:style>
  <w:style w:type="character" w:styleId="afa">
    <w:name w:val="Subtle Reference"/>
    <w:basedOn w:val="a0"/>
    <w:uiPriority w:val="31"/>
    <w:rPr>
      <w:smallCaps/>
      <w:color w:val="5A5A5A"/>
    </w:rPr>
  </w:style>
  <w:style w:type="character" w:styleId="afb">
    <w:name w:val="Intense Reference"/>
    <w:basedOn w:val="a0"/>
    <w:uiPriority w:val="32"/>
    <w:rPr>
      <w:b/>
      <w:bCs/>
      <w:smallCaps/>
      <w:color w:val="4472C4"/>
      <w:spacing w:val="5"/>
    </w:rPr>
  </w:style>
  <w:style w:type="character" w:styleId="afc">
    <w:name w:val="Book Title"/>
    <w:basedOn w:val="a0"/>
    <w:uiPriority w:val="33"/>
    <w:rPr>
      <w:b/>
      <w:bCs/>
      <w:i/>
      <w:iCs/>
      <w:spacing w:val="5"/>
    </w:rPr>
  </w:style>
  <w:style w:type="paragraph" w:styleId="afd">
    <w:name w:val="List Paragraph"/>
    <w:basedOn w:val="a"/>
    <w:uiPriority w:val="34"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paragraph" w:customStyle="1" w:styleId="AWI-Table">
    <w:name w:val="AWI-Table"/>
    <w:basedOn w:val="AWI-TableHeader"/>
    <w:qFormat/>
    <w:rPr>
      <w:b w:val="0"/>
    </w:rPr>
  </w:style>
  <w:style w:type="character" w:customStyle="1" w:styleId="AWI-StandardZchn">
    <w:name w:val="AWI-Standard Zchn"/>
    <w:link w:val="AWI-Standard"/>
    <w:rPr>
      <w:rFonts w:ascii="Arial" w:hAnsi="Arial"/>
      <w:sz w:val="22"/>
      <w:lang w:val="en-GB" w:eastAsia="ar-SA"/>
    </w:rPr>
  </w:style>
  <w:style w:type="table" w:styleId="af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Pr>
      <w:i/>
      <w:color w:val="4472C4"/>
      <w:sz w:val="20"/>
    </w:rPr>
  </w:style>
  <w:style w:type="paragraph" w:styleId="aff">
    <w:name w:val="Normal (Web)"/>
    <w:basedOn w:val="a"/>
    <w:uiPriority w:val="99"/>
    <w:pPr>
      <w:spacing w:before="100" w:beforeAutospacing="1" w:after="100" w:afterAutospacing="1"/>
    </w:pPr>
  </w:style>
  <w:style w:type="paragraph" w:styleId="aff0">
    <w:name w:val="Balloon Text"/>
    <w:basedOn w:val="a"/>
    <w:link w:val="aff1"/>
    <w:uiPriority w:val="99"/>
    <w:rPr>
      <w:rFonts w:ascii="Segoe UI" w:hAnsi="Segoe UI" w:cs="Segoe UI"/>
      <w:sz w:val="18"/>
      <w:szCs w:val="18"/>
    </w:rPr>
  </w:style>
  <w:style w:type="character" w:customStyle="1" w:styleId="aff1">
    <w:name w:val="批注框文本 字符"/>
    <w:basedOn w:val="a0"/>
    <w:link w:val="aff0"/>
    <w:uiPriority w:val="99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a"/>
    <w:uiPriority w:val="99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aff2">
    <w:name w:val="page number"/>
    <w:basedOn w:val="a0"/>
    <w:uiPriority w:val="99"/>
  </w:style>
  <w:style w:type="numbering" w:customStyle="1" w:styleId="AktuelleListe1">
    <w:name w:val="Aktuelle Liste1"/>
    <w:uiPriority w:val="99"/>
    <w:pPr>
      <w:numPr>
        <w:numId w:val="4"/>
      </w:numPr>
    </w:pPr>
  </w:style>
  <w:style w:type="paragraph" w:customStyle="1" w:styleId="AWI-Image">
    <w:name w:val="AWI-Image"/>
    <w:basedOn w:val="AWI-Captions"/>
    <w:qFormat/>
    <w:pPr>
      <w:spacing w:after="120"/>
    </w:pPr>
  </w:style>
  <w:style w:type="numbering" w:customStyle="1" w:styleId="CurrentList1">
    <w:name w:val="Current List1"/>
    <w:uiPriority w:val="99"/>
    <w:pPr>
      <w:numPr>
        <w:numId w:val="5"/>
      </w:numPr>
    </w:pPr>
  </w:style>
  <w:style w:type="paragraph" w:styleId="aff3">
    <w:name w:val="annotation subject"/>
    <w:basedOn w:val="a5"/>
    <w:next w:val="a5"/>
    <w:link w:val="aff4"/>
    <w:uiPriority w:val="99"/>
    <w:rPr>
      <w:b/>
      <w:bCs/>
    </w:rPr>
  </w:style>
  <w:style w:type="character" w:customStyle="1" w:styleId="aff4">
    <w:name w:val="批注主题 字符"/>
    <w:basedOn w:val="a6"/>
    <w:link w:val="aff3"/>
    <w:uiPriority w:val="99"/>
    <w:rPr>
      <w:b/>
      <w:bCs/>
      <w:lang w:eastAsia="en-US"/>
    </w:rPr>
  </w:style>
  <w:style w:type="character" w:customStyle="1" w:styleId="10">
    <w:name w:val="未处理的提及1"/>
    <w:basedOn w:val="a0"/>
    <w:uiPriority w:val="99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Pr>
      <w:color w:val="4472C4"/>
    </w:rPr>
  </w:style>
  <w:style w:type="paragraph" w:styleId="TOC1">
    <w:name w:val="toc 1"/>
    <w:basedOn w:val="a"/>
    <w:next w:val="a"/>
    <w:uiPriority w:val="39"/>
    <w:pPr>
      <w:spacing w:after="100"/>
    </w:pPr>
  </w:style>
  <w:style w:type="paragraph" w:styleId="TOC2">
    <w:name w:val="toc 2"/>
    <w:basedOn w:val="a"/>
    <w:next w:val="a"/>
    <w:uiPriority w:val="39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CD4E9-7BFB-4934-9B22-035608C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493</Words>
  <Characters>3062</Characters>
  <Application>Microsoft Office Word</Application>
  <DocSecurity>0</DocSecurity>
  <Lines>58</Lines>
  <Paragraphs>19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新雨 苗</cp:lastModifiedBy>
  <cp:revision>36</cp:revision>
  <cp:lastPrinted>1899-12-31T23:00:00Z</cp:lastPrinted>
  <dcterms:created xsi:type="dcterms:W3CDTF">2025-06-14T09:10:00Z</dcterms:created>
  <dcterms:modified xsi:type="dcterms:W3CDTF">2025-06-14T16:26:00Z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a11b1313405a44699a9a3389bd85d59c_23</vt:lpwstr>
  </property>
</Properties>
</file>