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1FFCD8" w14:textId="77777777" w:rsidR="00F277F4" w:rsidRPr="00F91D23" w:rsidRDefault="00000000">
      <w:pPr>
        <w:pBdr>
          <w:top w:val="nil"/>
          <w:left w:val="nil"/>
          <w:bottom w:val="nil"/>
          <w:right w:val="nil"/>
          <w:between w:val="nil"/>
        </w:pBdr>
        <w:spacing w:after="60"/>
        <w:rPr>
          <w:rFonts w:ascii="Arial" w:eastAsia="Arial" w:hAnsi="Arial" w:cs="Arial"/>
          <w:i/>
          <w:sz w:val="20"/>
          <w:szCs w:val="20"/>
          <w:lang w:val="de-DE"/>
        </w:rPr>
      </w:pPr>
      <w:bookmarkStart w:id="0" w:name="_heading=h.x3dsqw68ejem" w:colFirst="0" w:colLast="0"/>
      <w:bookmarkEnd w:id="0"/>
      <w:r w:rsidRPr="00F91D23">
        <w:rPr>
          <w:rFonts w:ascii="Arial" w:eastAsia="Arial" w:hAnsi="Arial" w:cs="Arial"/>
          <w:i/>
          <w:sz w:val="20"/>
          <w:szCs w:val="20"/>
          <w:lang w:val="de-DE"/>
        </w:rPr>
        <w:t xml:space="preserve">Sarah </w:t>
      </w:r>
      <w:proofErr w:type="spellStart"/>
      <w:r w:rsidRPr="00F91D23">
        <w:rPr>
          <w:rFonts w:ascii="Arial" w:eastAsia="Arial" w:hAnsi="Arial" w:cs="Arial"/>
          <w:i/>
          <w:sz w:val="20"/>
          <w:szCs w:val="20"/>
          <w:lang w:val="de-DE"/>
        </w:rPr>
        <w:t>Boelter</w:t>
      </w:r>
      <w:proofErr w:type="spellEnd"/>
      <w:r w:rsidRPr="00F91D23">
        <w:rPr>
          <w:rFonts w:ascii="Arial" w:eastAsia="Arial" w:hAnsi="Arial" w:cs="Arial"/>
          <w:i/>
          <w:color w:val="000000"/>
          <w:sz w:val="20"/>
          <w:szCs w:val="20"/>
          <w:lang w:val="de-DE"/>
        </w:rPr>
        <w:t xml:space="preserve"> </w:t>
      </w:r>
      <w:r w:rsidRPr="00F91D23">
        <w:rPr>
          <w:rFonts w:ascii="Arial" w:eastAsia="Arial" w:hAnsi="Arial" w:cs="Arial"/>
          <w:i/>
          <w:sz w:val="20"/>
          <w:szCs w:val="20"/>
          <w:lang w:val="de-DE"/>
        </w:rPr>
        <w:t xml:space="preserve"> </w:t>
      </w:r>
      <w:hyperlink r:id="rId8">
        <w:r w:rsidRPr="00F91D23">
          <w:rPr>
            <w:rFonts w:ascii="Arial" w:eastAsia="Arial" w:hAnsi="Arial" w:cs="Arial"/>
            <w:i/>
            <w:color w:val="1155CC"/>
            <w:sz w:val="20"/>
            <w:szCs w:val="20"/>
            <w:u w:val="single"/>
            <w:lang w:val="de-DE"/>
          </w:rPr>
          <w:t>boelt072@umn.edu</w:t>
        </w:r>
      </w:hyperlink>
    </w:p>
    <w:p w14:paraId="1433A836" w14:textId="77777777" w:rsidR="00F277F4" w:rsidRPr="00F91D23" w:rsidRDefault="00000000">
      <w:pPr>
        <w:keepNext/>
        <w:keepLines/>
        <w:pBdr>
          <w:top w:val="nil"/>
          <w:left w:val="nil"/>
          <w:bottom w:val="nil"/>
          <w:right w:val="nil"/>
          <w:between w:val="nil"/>
        </w:pBdr>
        <w:spacing w:before="120" w:after="60"/>
        <w:ind w:right="454"/>
        <w:rPr>
          <w:rFonts w:ascii="Arial" w:eastAsia="Arial" w:hAnsi="Arial" w:cs="Arial"/>
          <w:color w:val="4472C4"/>
          <w:sz w:val="22"/>
          <w:szCs w:val="22"/>
          <w:lang w:val="de-DE"/>
        </w:rPr>
      </w:pPr>
      <w:proofErr w:type="spellStart"/>
      <w:r w:rsidRPr="00F91D23">
        <w:rPr>
          <w:rFonts w:ascii="Arial" w:eastAsia="Arial" w:hAnsi="Arial" w:cs="Arial"/>
          <w:b/>
          <w:sz w:val="22"/>
          <w:szCs w:val="22"/>
          <w:lang w:val="de-DE"/>
        </w:rPr>
        <w:t>Probes</w:t>
      </w:r>
      <w:proofErr w:type="spellEnd"/>
    </w:p>
    <w:p w14:paraId="1CC8ECDF" w14:textId="77777777" w:rsidR="00F277F4" w:rsidRDefault="00000000">
      <w:pPr>
        <w:pBdr>
          <w:top w:val="nil"/>
          <w:left w:val="nil"/>
          <w:bottom w:val="nil"/>
          <w:right w:val="nil"/>
          <w:between w:val="nil"/>
        </w:pBdr>
        <w:spacing w:after="60"/>
        <w:jc w:val="both"/>
        <w:rPr>
          <w:rFonts w:ascii="Arial" w:eastAsia="Arial" w:hAnsi="Arial" w:cs="Arial"/>
          <w:color w:val="4472C4"/>
          <w:sz w:val="22"/>
          <w:szCs w:val="22"/>
        </w:rPr>
      </w:pPr>
      <w:r>
        <w:rPr>
          <w:rFonts w:ascii="Arial" w:eastAsia="Arial" w:hAnsi="Arial" w:cs="Arial"/>
          <w:b/>
          <w:sz w:val="22"/>
          <w:szCs w:val="22"/>
        </w:rPr>
        <w:t>Poster</w:t>
      </w:r>
    </w:p>
    <w:p w14:paraId="6333E4E7" w14:textId="77777777" w:rsidR="00F277F4" w:rsidRDefault="00F277F4">
      <w:pPr>
        <w:pBdr>
          <w:top w:val="nil"/>
          <w:left w:val="nil"/>
          <w:bottom w:val="nil"/>
          <w:right w:val="nil"/>
          <w:between w:val="nil"/>
        </w:pBdr>
        <w:spacing w:after="60"/>
        <w:jc w:val="both"/>
        <w:rPr>
          <w:rFonts w:ascii="Arial" w:eastAsia="Arial" w:hAnsi="Arial" w:cs="Arial"/>
          <w:color w:val="4472C4"/>
          <w:sz w:val="22"/>
          <w:szCs w:val="22"/>
        </w:rPr>
      </w:pPr>
    </w:p>
    <w:p w14:paraId="58E14D1B" w14:textId="77777777" w:rsidR="00F277F4" w:rsidRDefault="00000000">
      <w:pPr>
        <w:pBdr>
          <w:top w:val="nil"/>
          <w:left w:val="nil"/>
          <w:bottom w:val="nil"/>
          <w:right w:val="nil"/>
          <w:between w:val="nil"/>
        </w:pBdr>
        <w:spacing w:after="60"/>
        <w:jc w:val="both"/>
        <w:rPr>
          <w:rFonts w:ascii="Arial" w:eastAsia="Arial" w:hAnsi="Arial" w:cs="Arial"/>
          <w:b/>
          <w:smallCaps/>
          <w:color w:val="00000A"/>
          <w:sz w:val="28"/>
          <w:szCs w:val="28"/>
        </w:rPr>
      </w:pPr>
      <w:r>
        <w:rPr>
          <w:rFonts w:ascii="Arial" w:eastAsia="Arial" w:hAnsi="Arial" w:cs="Arial"/>
          <w:b/>
          <w:smallCaps/>
          <w:color w:val="00000A"/>
          <w:sz w:val="28"/>
          <w:szCs w:val="28"/>
        </w:rPr>
        <w:t>Diagnostics for Drilling Fault Prediction in Planetary Drills</w:t>
      </w:r>
    </w:p>
    <w:tbl>
      <w:tblPr>
        <w:tblStyle w:val="a"/>
        <w:tblW w:w="9069" w:type="dxa"/>
        <w:tblLayout w:type="fixed"/>
        <w:tblLook w:val="0000" w:firstRow="0" w:lastRow="0" w:firstColumn="0" w:lastColumn="0" w:noHBand="0" w:noVBand="0"/>
      </w:tblPr>
      <w:tblGrid>
        <w:gridCol w:w="4536"/>
        <w:gridCol w:w="4533"/>
      </w:tblGrid>
      <w:tr w:rsidR="00F277F4" w14:paraId="709E43EB" w14:textId="77777777">
        <w:tc>
          <w:tcPr>
            <w:tcW w:w="4536" w:type="dxa"/>
            <w:shd w:val="clear" w:color="auto" w:fill="auto"/>
          </w:tcPr>
          <w:p w14:paraId="5657E0D2" w14:textId="77777777" w:rsidR="00F277F4" w:rsidRDefault="00000000">
            <w:pPr>
              <w:pBdr>
                <w:top w:val="nil"/>
                <w:left w:val="nil"/>
                <w:bottom w:val="nil"/>
                <w:right w:val="nil"/>
                <w:between w:val="nil"/>
              </w:pBdr>
              <w:spacing w:before="120" w:after="120"/>
              <w:rPr>
                <w:rFonts w:ascii="Arial" w:eastAsia="Arial" w:hAnsi="Arial" w:cs="Arial"/>
                <w:i/>
                <w:color w:val="000000"/>
                <w:sz w:val="22"/>
                <w:szCs w:val="22"/>
              </w:rPr>
            </w:pPr>
            <w:bookmarkStart w:id="1" w:name="_heading=h.69elsy1ozgk7" w:colFirst="0" w:colLast="0"/>
            <w:bookmarkEnd w:id="1"/>
            <w:r>
              <w:rPr>
                <w:rFonts w:ascii="Arial" w:eastAsia="Arial" w:hAnsi="Arial" w:cs="Arial"/>
                <w:i/>
                <w:sz w:val="22"/>
                <w:szCs w:val="22"/>
              </w:rPr>
              <w:t>Sarah Boelter</w:t>
            </w:r>
            <w:r>
              <w:rPr>
                <w:rFonts w:ascii="Arial" w:eastAsia="Arial" w:hAnsi="Arial" w:cs="Arial"/>
                <w:i/>
                <w:color w:val="000000"/>
                <w:sz w:val="22"/>
                <w:szCs w:val="22"/>
                <w:vertAlign w:val="superscript"/>
              </w:rPr>
              <w:t>1</w:t>
            </w:r>
            <w:r>
              <w:rPr>
                <w:rFonts w:ascii="Arial" w:eastAsia="Arial" w:hAnsi="Arial" w:cs="Arial"/>
                <w:i/>
                <w:color w:val="000000"/>
                <w:sz w:val="22"/>
                <w:szCs w:val="22"/>
              </w:rPr>
              <w:t>,</w:t>
            </w:r>
            <w:r>
              <w:rPr>
                <w:rFonts w:ascii="Arial" w:eastAsia="Arial" w:hAnsi="Arial" w:cs="Arial"/>
                <w:i/>
                <w:sz w:val="22"/>
                <w:szCs w:val="22"/>
              </w:rPr>
              <w:t xml:space="preserve"> Greta Brown</w:t>
            </w:r>
            <w:r>
              <w:rPr>
                <w:rFonts w:ascii="Arial" w:eastAsia="Arial" w:hAnsi="Arial" w:cs="Arial"/>
                <w:i/>
                <w:color w:val="000000"/>
                <w:sz w:val="22"/>
                <w:szCs w:val="22"/>
                <w:vertAlign w:val="superscript"/>
              </w:rPr>
              <w:t>1</w:t>
            </w:r>
            <w:r>
              <w:rPr>
                <w:rFonts w:ascii="Arial" w:eastAsia="Arial" w:hAnsi="Arial" w:cs="Arial"/>
                <w:i/>
                <w:sz w:val="22"/>
                <w:szCs w:val="22"/>
              </w:rPr>
              <w:t>, Thomas Stucky</w:t>
            </w:r>
            <w:r>
              <w:rPr>
                <w:rFonts w:ascii="Arial" w:eastAsia="Arial" w:hAnsi="Arial" w:cs="Arial"/>
                <w:i/>
                <w:sz w:val="22"/>
                <w:szCs w:val="22"/>
                <w:vertAlign w:val="superscript"/>
              </w:rPr>
              <w:t>2</w:t>
            </w:r>
            <w:r>
              <w:rPr>
                <w:rFonts w:ascii="Arial" w:eastAsia="Arial" w:hAnsi="Arial" w:cs="Arial"/>
                <w:i/>
                <w:sz w:val="22"/>
                <w:szCs w:val="22"/>
              </w:rPr>
              <w:t>, Elsa Forberger</w:t>
            </w:r>
            <w:r>
              <w:rPr>
                <w:rFonts w:ascii="Arial" w:eastAsia="Arial" w:hAnsi="Arial" w:cs="Arial"/>
                <w:i/>
                <w:sz w:val="22"/>
                <w:szCs w:val="22"/>
                <w:vertAlign w:val="superscript"/>
              </w:rPr>
              <w:t>1</w:t>
            </w:r>
            <w:r>
              <w:rPr>
                <w:rFonts w:ascii="Arial" w:eastAsia="Arial" w:hAnsi="Arial" w:cs="Arial"/>
                <w:i/>
                <w:sz w:val="22"/>
                <w:szCs w:val="22"/>
              </w:rPr>
              <w:t>, Graham Wilson</w:t>
            </w:r>
            <w:r>
              <w:rPr>
                <w:rFonts w:ascii="Arial" w:eastAsia="Arial" w:hAnsi="Arial" w:cs="Arial"/>
                <w:i/>
                <w:sz w:val="22"/>
                <w:szCs w:val="22"/>
                <w:vertAlign w:val="superscript"/>
              </w:rPr>
              <w:t>1</w:t>
            </w:r>
            <w:r>
              <w:rPr>
                <w:rFonts w:ascii="Arial" w:eastAsia="Arial" w:hAnsi="Arial" w:cs="Arial"/>
                <w:i/>
                <w:sz w:val="22"/>
                <w:szCs w:val="22"/>
              </w:rPr>
              <w:t>, Maria Gini</w:t>
            </w:r>
            <w:r>
              <w:rPr>
                <w:rFonts w:ascii="Arial" w:eastAsia="Arial" w:hAnsi="Arial" w:cs="Arial"/>
                <w:i/>
                <w:sz w:val="22"/>
                <w:szCs w:val="22"/>
                <w:vertAlign w:val="superscript"/>
              </w:rPr>
              <w:t>1</w:t>
            </w:r>
            <w:r>
              <w:rPr>
                <w:rFonts w:ascii="Arial" w:eastAsia="Arial" w:hAnsi="Arial" w:cs="Arial"/>
                <w:i/>
                <w:sz w:val="22"/>
                <w:szCs w:val="22"/>
              </w:rPr>
              <w:t>, Brian Glass</w:t>
            </w:r>
            <w:r>
              <w:rPr>
                <w:rFonts w:ascii="Arial" w:eastAsia="Arial" w:hAnsi="Arial" w:cs="Arial"/>
                <w:i/>
                <w:color w:val="000000"/>
                <w:sz w:val="22"/>
                <w:szCs w:val="22"/>
                <w:vertAlign w:val="superscript"/>
              </w:rPr>
              <w:t>2</w:t>
            </w:r>
          </w:p>
          <w:p w14:paraId="0458B43B" w14:textId="77777777" w:rsidR="00F277F4" w:rsidRDefault="00F277F4">
            <w:pPr>
              <w:pBdr>
                <w:top w:val="nil"/>
                <w:left w:val="nil"/>
                <w:bottom w:val="nil"/>
                <w:right w:val="nil"/>
                <w:between w:val="nil"/>
              </w:pBdr>
              <w:spacing w:after="60"/>
              <w:ind w:left="624"/>
              <w:rPr>
                <w:rFonts w:ascii="Arial" w:eastAsia="Arial" w:hAnsi="Arial" w:cs="Arial"/>
                <w:i/>
                <w:color w:val="000000"/>
                <w:sz w:val="22"/>
                <w:szCs w:val="22"/>
                <w:vertAlign w:val="superscript"/>
              </w:rPr>
            </w:pPr>
          </w:p>
        </w:tc>
        <w:tc>
          <w:tcPr>
            <w:tcW w:w="4533" w:type="dxa"/>
            <w:shd w:val="clear" w:color="auto" w:fill="auto"/>
          </w:tcPr>
          <w:p w14:paraId="5A06EA0A" w14:textId="77777777" w:rsidR="00F277F4" w:rsidRDefault="00000000">
            <w:pPr>
              <w:pBdr>
                <w:top w:val="nil"/>
                <w:left w:val="nil"/>
                <w:bottom w:val="nil"/>
                <w:right w:val="nil"/>
                <w:between w:val="nil"/>
              </w:pBdr>
              <w:spacing w:after="60"/>
              <w:ind w:left="624"/>
              <w:rPr>
                <w:rFonts w:ascii="Arial" w:eastAsia="Arial" w:hAnsi="Arial" w:cs="Arial"/>
                <w:i/>
                <w:color w:val="000000"/>
                <w:sz w:val="22"/>
                <w:szCs w:val="22"/>
              </w:rPr>
            </w:pPr>
            <w:r>
              <w:rPr>
                <w:rFonts w:ascii="Arial" w:eastAsia="Arial" w:hAnsi="Arial" w:cs="Arial"/>
                <w:i/>
                <w:color w:val="000000"/>
                <w:sz w:val="22"/>
                <w:szCs w:val="22"/>
                <w:vertAlign w:val="superscript"/>
              </w:rPr>
              <w:t>1</w:t>
            </w:r>
            <w:r>
              <w:rPr>
                <w:rFonts w:ascii="Arial" w:eastAsia="Arial" w:hAnsi="Arial" w:cs="Arial"/>
                <w:i/>
                <w:sz w:val="22"/>
                <w:szCs w:val="22"/>
              </w:rPr>
              <w:t>University of Minnesota</w:t>
            </w:r>
            <w:r>
              <w:rPr>
                <w:rFonts w:ascii="Arial" w:eastAsia="Arial" w:hAnsi="Arial" w:cs="Arial"/>
                <w:i/>
                <w:color w:val="000000"/>
                <w:sz w:val="22"/>
                <w:szCs w:val="22"/>
              </w:rPr>
              <w:t xml:space="preserve">, </w:t>
            </w:r>
            <w:r>
              <w:rPr>
                <w:rFonts w:ascii="Arial" w:eastAsia="Arial" w:hAnsi="Arial" w:cs="Arial"/>
                <w:i/>
                <w:sz w:val="22"/>
                <w:szCs w:val="22"/>
              </w:rPr>
              <w:t>Minneapolis, USA</w:t>
            </w:r>
          </w:p>
          <w:p w14:paraId="564D5AB9" w14:textId="77777777" w:rsidR="00F277F4" w:rsidRDefault="00000000">
            <w:pPr>
              <w:pBdr>
                <w:top w:val="nil"/>
                <w:left w:val="nil"/>
                <w:bottom w:val="nil"/>
                <w:right w:val="nil"/>
                <w:between w:val="nil"/>
              </w:pBdr>
              <w:spacing w:after="60"/>
              <w:ind w:left="624"/>
              <w:rPr>
                <w:rFonts w:ascii="Arial" w:eastAsia="Arial" w:hAnsi="Arial" w:cs="Arial"/>
                <w:i/>
                <w:color w:val="000000"/>
                <w:sz w:val="22"/>
                <w:szCs w:val="22"/>
              </w:rPr>
            </w:pPr>
            <w:r>
              <w:rPr>
                <w:rFonts w:ascii="Arial" w:eastAsia="Arial" w:hAnsi="Arial" w:cs="Arial"/>
                <w:i/>
                <w:color w:val="000000"/>
                <w:sz w:val="22"/>
                <w:szCs w:val="22"/>
                <w:vertAlign w:val="superscript"/>
              </w:rPr>
              <w:t>2</w:t>
            </w:r>
            <w:r>
              <w:rPr>
                <w:rFonts w:ascii="Arial" w:eastAsia="Arial" w:hAnsi="Arial" w:cs="Arial"/>
                <w:i/>
                <w:sz w:val="22"/>
                <w:szCs w:val="22"/>
              </w:rPr>
              <w:t xml:space="preserve">NASA Ames Research </w:t>
            </w:r>
            <w:proofErr w:type="spellStart"/>
            <w:r>
              <w:rPr>
                <w:rFonts w:ascii="Arial" w:eastAsia="Arial" w:hAnsi="Arial" w:cs="Arial"/>
                <w:i/>
                <w:sz w:val="22"/>
                <w:szCs w:val="22"/>
              </w:rPr>
              <w:t>Center</w:t>
            </w:r>
            <w:proofErr w:type="spellEnd"/>
            <w:r>
              <w:rPr>
                <w:rFonts w:ascii="Arial" w:eastAsia="Arial" w:hAnsi="Arial" w:cs="Arial"/>
                <w:i/>
                <w:sz w:val="22"/>
                <w:szCs w:val="22"/>
              </w:rPr>
              <w:t>, Moffett Field, USA</w:t>
            </w:r>
          </w:p>
        </w:tc>
      </w:tr>
    </w:tbl>
    <w:p w14:paraId="02A090FA" w14:textId="05184660" w:rsidR="00F277F4" w:rsidRDefault="00000000">
      <w:pPr>
        <w:pBdr>
          <w:top w:val="nil"/>
          <w:left w:val="nil"/>
          <w:bottom w:val="nil"/>
          <w:right w:val="nil"/>
          <w:between w:val="nil"/>
        </w:pBdr>
        <w:spacing w:after="60"/>
        <w:jc w:val="both"/>
        <w:rPr>
          <w:rFonts w:ascii="Arial" w:eastAsia="Arial" w:hAnsi="Arial" w:cs="Arial"/>
          <w:sz w:val="22"/>
          <w:szCs w:val="22"/>
        </w:rPr>
      </w:pPr>
      <w:r>
        <w:rPr>
          <w:rFonts w:ascii="Arial" w:eastAsia="Arial" w:hAnsi="Arial" w:cs="Arial"/>
          <w:sz w:val="22"/>
          <w:szCs w:val="22"/>
        </w:rPr>
        <w:t xml:space="preserve">Searching for evidence of ancient climates and extant life in icy planetary environments will require robust hardware and software to obtain surface and subsurface samples. Ice drills like The </w:t>
      </w:r>
      <w:proofErr w:type="spellStart"/>
      <w:r>
        <w:rPr>
          <w:rFonts w:ascii="Arial" w:eastAsia="Arial" w:hAnsi="Arial" w:cs="Arial"/>
          <w:sz w:val="22"/>
          <w:szCs w:val="22"/>
        </w:rPr>
        <w:t>Regolith</w:t>
      </w:r>
      <w:proofErr w:type="spellEnd"/>
      <w:r>
        <w:rPr>
          <w:rFonts w:ascii="Arial" w:eastAsia="Arial" w:hAnsi="Arial" w:cs="Arial"/>
          <w:sz w:val="22"/>
          <w:szCs w:val="22"/>
        </w:rPr>
        <w:t xml:space="preserve"> and Ice Drill for Exploring New Terrain (TRIDENT), a </w:t>
      </w:r>
      <w:proofErr w:type="gramStart"/>
      <w:r>
        <w:rPr>
          <w:rFonts w:ascii="Arial" w:eastAsia="Arial" w:hAnsi="Arial" w:cs="Arial"/>
          <w:sz w:val="22"/>
          <w:szCs w:val="22"/>
        </w:rPr>
        <w:t>1 meter</w:t>
      </w:r>
      <w:proofErr w:type="gramEnd"/>
      <w:r>
        <w:rPr>
          <w:rFonts w:ascii="Arial" w:eastAsia="Arial" w:hAnsi="Arial" w:cs="Arial"/>
          <w:sz w:val="22"/>
          <w:szCs w:val="22"/>
        </w:rPr>
        <w:t xml:space="preserve"> rotary percussive drill manufactured by Honeybee Robotics, are uniquely suited hardware for obtaining cores and samples, but functionality beyond earth’s immediate orbit will require autonomous software operation. Robotic ice drills on Mars or other planetary bodies must respond to potential indicators of fault and prevent hardware failure to allow clean acquisition of subsurface samples. Past arctic planetary-</w:t>
      </w:r>
      <w:proofErr w:type="spellStart"/>
      <w:r>
        <w:rPr>
          <w:rFonts w:ascii="Arial" w:eastAsia="Arial" w:hAnsi="Arial" w:cs="Arial"/>
          <w:sz w:val="22"/>
          <w:szCs w:val="22"/>
        </w:rPr>
        <w:t>analog</w:t>
      </w:r>
      <w:proofErr w:type="spellEnd"/>
      <w:r>
        <w:rPr>
          <w:rFonts w:ascii="Arial" w:eastAsia="Arial" w:hAnsi="Arial" w:cs="Arial"/>
          <w:sz w:val="22"/>
          <w:szCs w:val="22"/>
        </w:rPr>
        <w:t xml:space="preserve"> fieldwork in Haughton Crater (Glass 2025) has given us methods for identifying and preventing drilling faults in arctic environments with periglacial features, like ice lenses or permafrost. This will better inform development of autonomous drilling and sampling methods in planetary environments.</w:t>
      </w:r>
    </w:p>
    <w:p w14:paraId="64E66B02" w14:textId="3885A093" w:rsidR="00F277F4" w:rsidRDefault="00000000">
      <w:pPr>
        <w:pBdr>
          <w:top w:val="nil"/>
          <w:left w:val="nil"/>
          <w:bottom w:val="nil"/>
          <w:right w:val="nil"/>
          <w:between w:val="nil"/>
        </w:pBdr>
        <w:spacing w:after="60"/>
        <w:jc w:val="both"/>
        <w:rPr>
          <w:rFonts w:ascii="Arial" w:eastAsia="Arial" w:hAnsi="Arial" w:cs="Arial"/>
          <w:sz w:val="22"/>
          <w:szCs w:val="22"/>
        </w:rPr>
      </w:pPr>
      <w:r>
        <w:rPr>
          <w:rFonts w:ascii="Arial" w:eastAsia="Arial" w:hAnsi="Arial" w:cs="Arial"/>
          <w:sz w:val="22"/>
          <w:szCs w:val="22"/>
        </w:rPr>
        <w:t xml:space="preserve">Faults can be categorized </w:t>
      </w:r>
      <w:r w:rsidR="006E2426">
        <w:rPr>
          <w:rFonts w:ascii="Arial" w:eastAsia="Arial" w:hAnsi="Arial" w:cs="Arial"/>
          <w:sz w:val="22"/>
          <w:szCs w:val="22"/>
        </w:rPr>
        <w:t>into five categories:</w:t>
      </w:r>
      <w:r>
        <w:rPr>
          <w:rFonts w:ascii="Arial" w:eastAsia="Arial" w:hAnsi="Arial" w:cs="Arial"/>
          <w:sz w:val="22"/>
          <w:szCs w:val="22"/>
        </w:rPr>
        <w:t xml:space="preserve"> </w:t>
      </w:r>
      <w:r w:rsidR="006E2426">
        <w:rPr>
          <w:rFonts w:ascii="Arial" w:eastAsia="Arial" w:hAnsi="Arial" w:cs="Arial"/>
          <w:sz w:val="22"/>
          <w:szCs w:val="22"/>
        </w:rPr>
        <w:t>B</w:t>
      </w:r>
      <w:r>
        <w:rPr>
          <w:rFonts w:ascii="Arial" w:eastAsia="Arial" w:hAnsi="Arial" w:cs="Arial"/>
          <w:sz w:val="22"/>
          <w:szCs w:val="22"/>
        </w:rPr>
        <w:t>inding faults that increased torque to friction along drill string, choking faults, where pulverised cuttings caught in the borehole causing increased torque, hard-materials faults</w:t>
      </w:r>
      <w:r w:rsidR="006E2426">
        <w:rPr>
          <w:rFonts w:ascii="Arial" w:eastAsia="Arial" w:hAnsi="Arial" w:cs="Arial"/>
          <w:sz w:val="22"/>
          <w:szCs w:val="22"/>
        </w:rPr>
        <w:t>,</w:t>
      </w:r>
      <w:r>
        <w:rPr>
          <w:rFonts w:ascii="Arial" w:eastAsia="Arial" w:hAnsi="Arial" w:cs="Arial"/>
          <w:sz w:val="22"/>
          <w:szCs w:val="22"/>
        </w:rPr>
        <w:t xml:space="preserve"> where rate of penetration is stalled despite increased percussion and torque applied to the drill string, corkscrewing faults, where flutes become caught on protruding rock, and bit inclusion</w:t>
      </w:r>
      <w:r w:rsidR="006E2426">
        <w:rPr>
          <w:rFonts w:ascii="Arial" w:eastAsia="Arial" w:hAnsi="Arial" w:cs="Arial"/>
          <w:sz w:val="22"/>
          <w:szCs w:val="22"/>
        </w:rPr>
        <w:t>s,</w:t>
      </w:r>
      <w:r>
        <w:rPr>
          <w:rFonts w:ascii="Arial" w:eastAsia="Arial" w:hAnsi="Arial" w:cs="Arial"/>
          <w:sz w:val="22"/>
          <w:szCs w:val="22"/>
        </w:rPr>
        <w:t xml:space="preserve"> where small gravel is caught in drill flutes causing torque increase.  These </w:t>
      </w:r>
      <w:r w:rsidR="006E2426">
        <w:rPr>
          <w:rFonts w:ascii="Arial" w:eastAsia="Arial" w:hAnsi="Arial" w:cs="Arial"/>
          <w:sz w:val="22"/>
          <w:szCs w:val="22"/>
        </w:rPr>
        <w:t>are often</w:t>
      </w:r>
      <w:r>
        <w:rPr>
          <w:rFonts w:ascii="Arial" w:eastAsia="Arial" w:hAnsi="Arial" w:cs="Arial"/>
          <w:sz w:val="22"/>
          <w:szCs w:val="22"/>
        </w:rPr>
        <w:t xml:space="preserve"> diagnosed </w:t>
      </w:r>
      <w:r w:rsidR="006E2426">
        <w:rPr>
          <w:rFonts w:ascii="Arial" w:eastAsia="Arial" w:hAnsi="Arial" w:cs="Arial"/>
          <w:sz w:val="22"/>
          <w:szCs w:val="22"/>
        </w:rPr>
        <w:t xml:space="preserve">later when </w:t>
      </w:r>
      <w:r>
        <w:rPr>
          <w:rFonts w:ascii="Arial" w:eastAsia="Arial" w:hAnsi="Arial" w:cs="Arial"/>
          <w:sz w:val="22"/>
          <w:szCs w:val="22"/>
        </w:rPr>
        <w:t>reviewing time-series telemetry data.</w:t>
      </w:r>
    </w:p>
    <w:p w14:paraId="76A421AA" w14:textId="77777777" w:rsidR="00F277F4" w:rsidRDefault="00000000">
      <w:pPr>
        <w:pBdr>
          <w:top w:val="nil"/>
          <w:left w:val="nil"/>
          <w:bottom w:val="nil"/>
          <w:right w:val="nil"/>
          <w:between w:val="nil"/>
        </w:pBdr>
        <w:spacing w:after="60"/>
        <w:jc w:val="both"/>
        <w:rPr>
          <w:rFonts w:ascii="Arial" w:eastAsia="Arial" w:hAnsi="Arial" w:cs="Arial"/>
          <w:sz w:val="22"/>
          <w:szCs w:val="22"/>
        </w:rPr>
      </w:pPr>
      <w:r>
        <w:rPr>
          <w:rFonts w:ascii="Arial" w:eastAsia="Arial" w:hAnsi="Arial" w:cs="Arial"/>
          <w:sz w:val="22"/>
          <w:szCs w:val="22"/>
        </w:rPr>
        <w:t xml:space="preserve">Changes in force telemetry data indicating faulty conditions have a high likelihood of online prediction with tailored methodologies (Boelter 2025). Using change point detection techniques, we can monitor change scores in telemetry data, which often spike prior to faulty conditions for torque or weight on bit. We can also monitor downward velocity, to monitor stalled or slowed drilling progress approaching a velocity of zero. We can also monitor percussive sound wave data during active percussion, as higher frequency or skipped percussive beats are fault indicators. Active percussion indicates hard or differing subsurface composition. We use methods that calculate a novelty curve corresponding to an increase in spectral energy of the vibration signal. Then, an algorithm is used to pick which points in the novelty curve correspond to beats. Beat bounds are found from the local minima of the novelty curve. After applying the Fourier transform to beats, features like frequency peaks and overall energy are used to determine if the beat denotes a fault or nominal operation. Analysis of test data shows that non-faulting beats typically have a frequency peak around 6 kHz and faulting beats tend to have higher frequency peaks and more overall energy. </w:t>
      </w:r>
    </w:p>
    <w:p w14:paraId="11AC63DB" w14:textId="77777777" w:rsidR="00F277F4" w:rsidRDefault="00000000">
      <w:pPr>
        <w:pBdr>
          <w:top w:val="nil"/>
          <w:left w:val="nil"/>
          <w:bottom w:val="nil"/>
          <w:right w:val="nil"/>
          <w:between w:val="nil"/>
        </w:pBdr>
        <w:spacing w:after="60"/>
        <w:jc w:val="both"/>
        <w:rPr>
          <w:rFonts w:ascii="Arial" w:eastAsia="Arial" w:hAnsi="Arial" w:cs="Arial"/>
          <w:sz w:val="22"/>
          <w:szCs w:val="22"/>
        </w:rPr>
      </w:pPr>
      <w:r>
        <w:rPr>
          <w:rFonts w:ascii="Arial" w:eastAsia="Arial" w:hAnsi="Arial" w:cs="Arial"/>
          <w:sz w:val="22"/>
          <w:szCs w:val="22"/>
        </w:rPr>
        <w:t xml:space="preserve">Preliminary results during May 2025 lab testing indicate change point detection methods are accurately able to catch subtle telemetry signal changes preceding faulty drill conditions and collected sound wave data also indicates faults can be predicted through sound wave amplitude changes and faulty and skipped beat detection. These methods will be verified during </w:t>
      </w:r>
      <w:proofErr w:type="spellStart"/>
      <w:r>
        <w:rPr>
          <w:rFonts w:ascii="Arial" w:eastAsia="Arial" w:hAnsi="Arial" w:cs="Arial"/>
          <w:sz w:val="22"/>
          <w:szCs w:val="22"/>
        </w:rPr>
        <w:t>analog</w:t>
      </w:r>
      <w:proofErr w:type="spellEnd"/>
      <w:r>
        <w:rPr>
          <w:rFonts w:ascii="Arial" w:eastAsia="Arial" w:hAnsi="Arial" w:cs="Arial"/>
          <w:sz w:val="22"/>
          <w:szCs w:val="22"/>
        </w:rPr>
        <w:t xml:space="preserve"> arctic field testing in July 2025 at Haughton Crater.  </w:t>
      </w:r>
    </w:p>
    <w:p w14:paraId="1D7F8E05" w14:textId="77777777" w:rsidR="00F277F4" w:rsidRDefault="00000000">
      <w:pPr>
        <w:keepNext/>
        <w:keepLines/>
        <w:pBdr>
          <w:top w:val="nil"/>
          <w:left w:val="nil"/>
          <w:bottom w:val="nil"/>
          <w:right w:val="nil"/>
          <w:between w:val="nil"/>
        </w:pBdr>
        <w:spacing w:before="120" w:after="60"/>
        <w:ind w:right="454"/>
        <w:rPr>
          <w:rFonts w:ascii="Arial" w:eastAsia="Arial" w:hAnsi="Arial" w:cs="Arial"/>
          <w:b/>
          <w:color w:val="000000"/>
          <w:sz w:val="22"/>
          <w:szCs w:val="22"/>
        </w:rPr>
      </w:pPr>
      <w:r>
        <w:rPr>
          <w:rFonts w:ascii="Arial" w:eastAsia="Arial" w:hAnsi="Arial" w:cs="Arial"/>
          <w:b/>
          <w:color w:val="000000"/>
          <w:sz w:val="22"/>
          <w:szCs w:val="22"/>
        </w:rPr>
        <w:t xml:space="preserve">References </w:t>
      </w:r>
    </w:p>
    <w:p w14:paraId="417817E7" w14:textId="77777777" w:rsidR="00F277F4" w:rsidRDefault="00000000">
      <w:pPr>
        <w:spacing w:after="60"/>
        <w:ind w:left="284"/>
        <w:jc w:val="both"/>
        <w:rPr>
          <w:rFonts w:ascii="Arial" w:eastAsia="Arial" w:hAnsi="Arial" w:cs="Arial"/>
          <w:b/>
          <w:sz w:val="22"/>
          <w:szCs w:val="22"/>
        </w:rPr>
      </w:pPr>
      <w:r>
        <w:rPr>
          <w:rFonts w:ascii="Arial" w:eastAsia="Arial" w:hAnsi="Arial" w:cs="Arial"/>
          <w:sz w:val="20"/>
          <w:szCs w:val="20"/>
        </w:rPr>
        <w:t>Boelter S and Weber L, Lenz R, Glass, B, Gini M (2025) Fault Prediction in Planetary Drilling Using Subspace Analysis Techniques. Proceedings 19th International Conference IAS - 19</w:t>
      </w:r>
    </w:p>
    <w:p w14:paraId="3739DAB3" w14:textId="77777777" w:rsidR="00F277F4" w:rsidRDefault="00000000">
      <w:pPr>
        <w:pBdr>
          <w:top w:val="nil"/>
          <w:left w:val="nil"/>
          <w:bottom w:val="nil"/>
          <w:right w:val="nil"/>
          <w:between w:val="nil"/>
        </w:pBdr>
        <w:spacing w:after="60"/>
        <w:ind w:left="284" w:hanging="284"/>
        <w:jc w:val="both"/>
        <w:rPr>
          <w:rFonts w:ascii="Arial" w:eastAsia="Arial" w:hAnsi="Arial" w:cs="Arial"/>
          <w:color w:val="4472C4"/>
          <w:sz w:val="22"/>
          <w:szCs w:val="22"/>
        </w:rPr>
      </w:pPr>
      <w:r>
        <w:rPr>
          <w:rFonts w:ascii="Arial" w:eastAsia="Arial" w:hAnsi="Arial" w:cs="Arial"/>
          <w:sz w:val="20"/>
          <w:szCs w:val="20"/>
        </w:rPr>
        <w:t xml:space="preserve">Glass B, Boelter S, </w:t>
      </w:r>
      <w:proofErr w:type="spellStart"/>
      <w:r>
        <w:rPr>
          <w:rFonts w:ascii="Arial" w:eastAsia="Arial" w:hAnsi="Arial" w:cs="Arial"/>
          <w:sz w:val="20"/>
          <w:szCs w:val="20"/>
        </w:rPr>
        <w:t>Vendiola</w:t>
      </w:r>
      <w:proofErr w:type="spellEnd"/>
      <w:r>
        <w:rPr>
          <w:rFonts w:ascii="Arial" w:eastAsia="Arial" w:hAnsi="Arial" w:cs="Arial"/>
          <w:sz w:val="20"/>
          <w:szCs w:val="20"/>
        </w:rPr>
        <w:t xml:space="preserve"> V, Fortuin C, Stucky T, Stocker C</w:t>
      </w:r>
      <w:r>
        <w:rPr>
          <w:rFonts w:ascii="Arial" w:eastAsia="Arial" w:hAnsi="Arial" w:cs="Arial"/>
          <w:color w:val="000000"/>
          <w:sz w:val="20"/>
          <w:szCs w:val="20"/>
        </w:rPr>
        <w:t xml:space="preserve"> (202</w:t>
      </w:r>
      <w:r>
        <w:rPr>
          <w:rFonts w:ascii="Arial" w:eastAsia="Arial" w:hAnsi="Arial" w:cs="Arial"/>
          <w:sz w:val="20"/>
          <w:szCs w:val="20"/>
        </w:rPr>
        <w:t>5</w:t>
      </w:r>
      <w:r>
        <w:rPr>
          <w:rFonts w:ascii="Arial" w:eastAsia="Arial" w:hAnsi="Arial" w:cs="Arial"/>
          <w:color w:val="000000"/>
          <w:sz w:val="20"/>
          <w:szCs w:val="20"/>
        </w:rPr>
        <w:t xml:space="preserve">) </w:t>
      </w:r>
      <w:r>
        <w:rPr>
          <w:rFonts w:ascii="Arial" w:eastAsia="Arial" w:hAnsi="Arial" w:cs="Arial"/>
          <w:sz w:val="20"/>
          <w:szCs w:val="20"/>
        </w:rPr>
        <w:t xml:space="preserve">Planetary </w:t>
      </w:r>
      <w:proofErr w:type="spellStart"/>
      <w:r>
        <w:rPr>
          <w:rFonts w:ascii="Arial" w:eastAsia="Arial" w:hAnsi="Arial" w:cs="Arial"/>
          <w:sz w:val="20"/>
          <w:szCs w:val="20"/>
        </w:rPr>
        <w:t>analog</w:t>
      </w:r>
      <w:proofErr w:type="spellEnd"/>
      <w:r>
        <w:rPr>
          <w:rFonts w:ascii="Arial" w:eastAsia="Arial" w:hAnsi="Arial" w:cs="Arial"/>
          <w:sz w:val="20"/>
          <w:szCs w:val="20"/>
        </w:rPr>
        <w:t xml:space="preserve"> drill automation tests at Haughton Crater</w:t>
      </w:r>
      <w:r>
        <w:rPr>
          <w:rFonts w:ascii="Arial" w:eastAsia="Arial" w:hAnsi="Arial" w:cs="Arial"/>
          <w:color w:val="000000"/>
          <w:sz w:val="20"/>
          <w:szCs w:val="20"/>
        </w:rPr>
        <w:t xml:space="preserve">. </w:t>
      </w:r>
      <w:r>
        <w:rPr>
          <w:rFonts w:ascii="Arial" w:eastAsia="Arial" w:hAnsi="Arial" w:cs="Arial"/>
          <w:sz w:val="20"/>
          <w:szCs w:val="20"/>
        </w:rPr>
        <w:t>Lunar Surface Innovation Consortium Spring Meeting</w:t>
      </w:r>
      <w:r>
        <w:rPr>
          <w:rFonts w:ascii="Arial" w:eastAsia="Arial" w:hAnsi="Arial" w:cs="Arial"/>
          <w:color w:val="000000"/>
          <w:sz w:val="20"/>
          <w:szCs w:val="20"/>
        </w:rPr>
        <w:t xml:space="preserve"> </w:t>
      </w:r>
    </w:p>
    <w:sectPr w:rsidR="00F277F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F942" w14:textId="77777777" w:rsidR="0097347B" w:rsidRDefault="0097347B">
      <w:r>
        <w:separator/>
      </w:r>
    </w:p>
  </w:endnote>
  <w:endnote w:type="continuationSeparator" w:id="0">
    <w:p w14:paraId="3D5A1FF6" w14:textId="77777777" w:rsidR="0097347B" w:rsidRDefault="0097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horndale">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3BAE" w14:textId="77777777" w:rsidR="00F277F4"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176A10" w14:textId="77777777" w:rsidR="00F277F4" w:rsidRDefault="00F27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8561" w14:textId="77777777" w:rsidR="00F277F4" w:rsidRDefault="00F277F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837" w14:textId="77777777" w:rsidR="00F277F4" w:rsidRDefault="00F277F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ABB1" w14:textId="77777777" w:rsidR="0097347B" w:rsidRDefault="0097347B">
      <w:r>
        <w:separator/>
      </w:r>
    </w:p>
  </w:footnote>
  <w:footnote w:type="continuationSeparator" w:id="0">
    <w:p w14:paraId="1338C154" w14:textId="77777777" w:rsidR="0097347B" w:rsidRDefault="0097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81B1" w14:textId="77777777" w:rsidR="00F277F4" w:rsidRDefault="00F277F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9263" w14:textId="77777777" w:rsidR="00F277F4" w:rsidRDefault="00F277F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A2B8" w14:textId="77777777" w:rsidR="00F277F4" w:rsidRDefault="00F277F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2B0D"/>
    <w:multiLevelType w:val="multilevel"/>
    <w:tmpl w:val="BAD658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66865307">
    <w:abstractNumId w:val="0"/>
  </w:num>
  <w:num w:numId="2" w16cid:durableId="1527020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28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035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220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F4"/>
    <w:rsid w:val="004211A8"/>
    <w:rsid w:val="006E2426"/>
    <w:rsid w:val="0097347B"/>
    <w:rsid w:val="00F277F4"/>
    <w:rsid w:val="00F91748"/>
    <w:rsid w:val="00F9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C2070"/>
  <w15:docId w15:val="{2511D0EF-E8C5-5042-BC76-60443EC8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23"/>
  </w:style>
  <w:style w:type="paragraph" w:styleId="Heading1">
    <w:name w:val="heading 1"/>
    <w:basedOn w:val="AWI-Standard"/>
    <w:next w:val="Normal"/>
    <w:uiPriority w:val="9"/>
    <w:qFormat/>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uiPriority w:val="9"/>
    <w:semiHidden/>
    <w:unhideWhenUsed/>
    <w:qFormat/>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eastAsia="ar-SA"/>
    </w:rPr>
  </w:style>
  <w:style w:type="paragraph" w:styleId="Heading3">
    <w:name w:val="heading 3"/>
    <w:basedOn w:val="Normal"/>
    <w:next w:val="Normal"/>
    <w:uiPriority w:val="9"/>
    <w:semiHidden/>
    <w:unhideWhenUsed/>
    <w:qFormat/>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eastAsia="ar-SA"/>
    </w:rPr>
  </w:style>
  <w:style w:type="paragraph" w:styleId="Heading4">
    <w:name w:val="heading 4"/>
    <w:basedOn w:val="Normal"/>
    <w:next w:val="Normal"/>
    <w:uiPriority w:val="9"/>
    <w:semiHidden/>
    <w:unhideWhenUsed/>
    <w:qFormat/>
    <w:pPr>
      <w:keepNext/>
      <w:numPr>
        <w:ilvl w:val="3"/>
        <w:numId w:val="1"/>
      </w:numPr>
      <w:spacing w:after="60"/>
      <w:jc w:val="both"/>
      <w:outlineLvl w:val="3"/>
    </w:pPr>
    <w:rPr>
      <w:rFonts w:ascii="Arial" w:hAnsi="Arial"/>
      <w:b/>
      <w:sz w:val="22"/>
      <w:szCs w:val="20"/>
      <w:lang w:eastAsia="ar-SA"/>
    </w:rPr>
  </w:style>
  <w:style w:type="paragraph" w:styleId="Heading5">
    <w:name w:val="heading 5"/>
    <w:basedOn w:val="Normal"/>
    <w:next w:val="Normal"/>
    <w:uiPriority w:val="9"/>
    <w:semiHidden/>
    <w:unhideWhenUsed/>
    <w:qFormat/>
    <w:pPr>
      <w:keepNext/>
      <w:widowControl w:val="0"/>
      <w:numPr>
        <w:ilvl w:val="4"/>
        <w:numId w:val="1"/>
      </w:numPr>
      <w:tabs>
        <w:tab w:val="left" w:pos="851"/>
      </w:tabs>
      <w:suppressAutoHyphens/>
      <w:spacing w:after="60"/>
      <w:jc w:val="both"/>
      <w:outlineLvl w:val="4"/>
    </w:pPr>
    <w:rPr>
      <w:rFonts w:ascii="Thorndale" w:hAnsi="Thorndale"/>
      <w:sz w:val="22"/>
      <w:szCs w:val="20"/>
      <w:u w:val="single"/>
      <w:lang w:eastAsia="ar-SA"/>
    </w:rPr>
  </w:style>
  <w:style w:type="paragraph" w:styleId="Heading6">
    <w:name w:val="heading 6"/>
    <w:basedOn w:val="Normal"/>
    <w:next w:val="Normal"/>
    <w:uiPriority w:val="9"/>
    <w:semiHidden/>
    <w:unhideWhenUsed/>
    <w:qFormat/>
    <w:pPr>
      <w:keepNext/>
      <w:widowControl w:val="0"/>
      <w:tabs>
        <w:tab w:val="num" w:pos="0"/>
        <w:tab w:val="left" w:pos="851"/>
      </w:tabs>
      <w:suppressAutoHyphens/>
      <w:spacing w:after="60"/>
      <w:ind w:left="851" w:hanging="851"/>
      <w:jc w:val="both"/>
      <w:outlineLvl w:val="5"/>
    </w:pPr>
    <w:rPr>
      <w:rFonts w:ascii="Thorndale" w:hAnsi="Thorndale"/>
      <w:b/>
      <w:caps/>
      <w:sz w:val="22"/>
      <w:szCs w:val="20"/>
      <w:lang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864200"/>
    <w:pPr>
      <w:contextualSpacing/>
    </w:pPr>
    <w:rPr>
      <w:rFonts w:asciiTheme="majorHAnsi" w:eastAsiaTheme="majorEastAsia" w:hAnsiTheme="majorHAnsi" w:cstheme="majorBidi"/>
      <w:spacing w:val="-10"/>
      <w:kern w:val="28"/>
      <w:sz w:val="56"/>
      <w:szCs w:val="56"/>
    </w:rPr>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tabs>
        <w:tab w:val="num" w:pos="0"/>
        <w:tab w:val="num" w:pos="720"/>
      </w:tabs>
      <w:ind w:left="720" w:hanging="720"/>
      <w:outlineLvl w:val="0"/>
    </w:pPr>
  </w:style>
  <w:style w:type="paragraph" w:customStyle="1" w:styleId="AWI-ListDots">
    <w:name w:val="AWI-ListDots"/>
    <w:basedOn w:val="AWI-ListNumbers"/>
    <w:qFormat/>
    <w:rsid w:val="00DD4B4A"/>
    <w:pPr>
      <w:tabs>
        <w:tab w:val="clear" w:pos="0"/>
      </w:tabs>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elt072@um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SwvFsvMRYySogUh5Wvc0NzLFrw==">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Boelter</cp:lastModifiedBy>
  <cp:revision>4</cp:revision>
  <dcterms:created xsi:type="dcterms:W3CDTF">2025-05-12T10:03:00Z</dcterms:created>
  <dcterms:modified xsi:type="dcterms:W3CDTF">2025-06-13T00:04:00Z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