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A08FB4" w14:textId="424D8A6B" w:rsidR="001D76C4" w:rsidRPr="001D76C4" w:rsidRDefault="005D6050" w:rsidP="001D76C4">
      <w:pPr>
        <w:pStyle w:val="AWI-Captions"/>
        <w:jc w:val="left"/>
      </w:pPr>
      <w:bookmarkStart w:id="0" w:name="_Toc187815268"/>
      <w:bookmarkStart w:id="1" w:name="Bookmark2"/>
      <w:r>
        <w:t>Pavel Talalay</w:t>
      </w:r>
      <w:r w:rsidR="00BF23DC">
        <w:t xml:space="preserve">    </w:t>
      </w:r>
      <w:r w:rsidR="00BF23DC" w:rsidRPr="00AB42CD">
        <w:t xml:space="preserve"> </w:t>
      </w:r>
      <w:hyperlink r:id="rId8" w:history="1">
        <w:r w:rsidRPr="00CF0790">
          <w:rPr>
            <w:rStyle w:val="a3"/>
          </w:rPr>
          <w:t>ptalalay@</w:t>
        </w:r>
      </w:hyperlink>
      <w:r>
        <w:rPr>
          <w:rStyle w:val="a3"/>
        </w:rPr>
        <w:t>yandex.ru</w:t>
      </w:r>
    </w:p>
    <w:p w14:paraId="445496D4" w14:textId="56AC281F" w:rsidR="00BF23DC" w:rsidRPr="005D6050" w:rsidRDefault="005D6050" w:rsidP="00BF23DC">
      <w:pPr>
        <w:pStyle w:val="3"/>
        <w:rPr>
          <w:sz w:val="27"/>
          <w:szCs w:val="27"/>
          <w:lang w:eastAsia="ru-RU"/>
        </w:rPr>
      </w:pPr>
      <w:r>
        <w:t>Hot water drilling</w:t>
      </w:r>
    </w:p>
    <w:p w14:paraId="12AF133F" w14:textId="116869E5" w:rsidR="005A6E89" w:rsidRDefault="00775A4A" w:rsidP="005A6E89">
      <w:pPr>
        <w:pStyle w:val="AWI-Heading3"/>
      </w:pPr>
      <w:r>
        <w:t>Oral</w:t>
      </w:r>
    </w:p>
    <w:bookmarkEnd w:id="0"/>
    <w:bookmarkEnd w:id="1"/>
    <w:p w14:paraId="4F41A778" w14:textId="18A24108" w:rsidR="00D159AC" w:rsidRPr="00DC7B76" w:rsidRDefault="005D6050" w:rsidP="00DC7B76">
      <w:pPr>
        <w:pStyle w:val="AWI-Heading1"/>
      </w:pPr>
      <w:r>
        <w:rPr>
          <w:rStyle w:val="h9rpj5gkjhrwbrml3kdi"/>
        </w:rPr>
        <w:t>general</w:t>
      </w:r>
      <w:r>
        <w:t xml:space="preserve"> concept </w:t>
      </w:r>
      <w:r w:rsidR="00F95647">
        <w:rPr>
          <w:lang w:val="en-US"/>
        </w:rPr>
        <w:t xml:space="preserve">and </w:t>
      </w:r>
      <w:r w:rsidR="00F95647" w:rsidRPr="00F95647">
        <w:rPr>
          <w:lang w:val="en-US"/>
        </w:rPr>
        <w:t>laboratory testing</w:t>
      </w:r>
      <w:r w:rsidR="00F95647">
        <w:rPr>
          <w:lang w:val="en-US"/>
        </w:rPr>
        <w:t xml:space="preserve"> </w:t>
      </w:r>
      <w:r>
        <w:t xml:space="preserve">of a deep hot-water drilling system </w:t>
      </w:r>
      <w:r>
        <w:rPr>
          <w:rStyle w:val="h9rpj5gkjhrwbrml3kdi"/>
        </w:rPr>
        <w:t>for accessing</w:t>
      </w:r>
      <w:r>
        <w:t xml:space="preserve"> Subglacial Lake Qilin</w:t>
      </w:r>
      <w:r>
        <w:rPr>
          <w:rStyle w:val="h9rpj5gkjhrwbrml3kdi"/>
        </w:rPr>
        <w:t xml:space="preserve"> in</w:t>
      </w:r>
      <w:r>
        <w:t xml:space="preserve"> East Antarctica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58638A5A" w14:textId="733D70E5" w:rsidR="00236723" w:rsidRPr="00F95647" w:rsidRDefault="00775A4A" w:rsidP="00365774">
            <w:pPr>
              <w:pStyle w:val="AWI-Heading5"/>
            </w:pPr>
            <w:r>
              <w:t>Pavel Talalay</w:t>
            </w:r>
            <w:r w:rsidRPr="00775A4A">
              <w:rPr>
                <w:vertAlign w:val="superscript"/>
              </w:rPr>
              <w:t>1,2</w:t>
            </w:r>
            <w:r>
              <w:t>, Nan Zhang</w:t>
            </w:r>
            <w:r w:rsidRPr="00775A4A">
              <w:rPr>
                <w:vertAlign w:val="superscript"/>
              </w:rPr>
              <w:t>1</w:t>
            </w:r>
            <w:r>
              <w:t xml:space="preserve"> , </w:t>
            </w:r>
            <w:proofErr w:type="spellStart"/>
            <w:r>
              <w:t>Xiaopeng</w:t>
            </w:r>
            <w:proofErr w:type="spellEnd"/>
            <w:r>
              <w:t xml:space="preserve"> Fan</w:t>
            </w:r>
            <w:r w:rsidRPr="00775A4A">
              <w:rPr>
                <w:vertAlign w:val="superscript"/>
              </w:rPr>
              <w:t>1</w:t>
            </w:r>
            <w:r>
              <w:t>, Bing Li</w:t>
            </w:r>
            <w:r w:rsidRPr="00775A4A"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Yuansheng</w:t>
            </w:r>
            <w:proofErr w:type="spellEnd"/>
            <w:r>
              <w:t xml:space="preserve"> Li</w:t>
            </w:r>
            <w:r w:rsidRPr="00775A4A">
              <w:rPr>
                <w:vertAlign w:val="superscript"/>
              </w:rPr>
              <w:t>3</w:t>
            </w:r>
            <w:r>
              <w:t xml:space="preserve">, </w:t>
            </w:r>
            <w:proofErr w:type="spellStart"/>
            <w:r>
              <w:t>Haibin</w:t>
            </w:r>
            <w:proofErr w:type="spellEnd"/>
            <w:r>
              <w:t xml:space="preserve"> Yu</w:t>
            </w:r>
            <w:r w:rsidRPr="00775A4A">
              <w:rPr>
                <w:vertAlign w:val="superscript"/>
              </w:rPr>
              <w:t>4</w:t>
            </w:r>
            <w:r>
              <w:t>, Heng Zuo</w:t>
            </w:r>
            <w:r w:rsidRPr="00775A4A">
              <w:rPr>
                <w:vertAlign w:val="superscript"/>
              </w:rPr>
              <w:t>5</w:t>
            </w:r>
            <w:r>
              <w:t>, Lin Li</w:t>
            </w:r>
            <w:r w:rsidRPr="00775A4A">
              <w:rPr>
                <w:vertAlign w:val="superscript"/>
              </w:rPr>
              <w:t>6</w:t>
            </w:r>
            <w:r>
              <w:t xml:space="preserve">, </w:t>
            </w:r>
            <w:proofErr w:type="spellStart"/>
            <w:r>
              <w:t>Guitao</w:t>
            </w:r>
            <w:proofErr w:type="spellEnd"/>
            <w:r>
              <w:t xml:space="preserve"> Shi</w:t>
            </w:r>
            <w:r w:rsidRPr="00775A4A">
              <w:rPr>
                <w:vertAlign w:val="superscript"/>
              </w:rPr>
              <w:t>3</w:t>
            </w:r>
            <w:r>
              <w:t xml:space="preserve">, </w:t>
            </w:r>
            <w:proofErr w:type="spellStart"/>
            <w:r>
              <w:t>Weiping</w:t>
            </w:r>
            <w:proofErr w:type="spellEnd"/>
            <w:r>
              <w:t xml:space="preserve"> Shi</w:t>
            </w:r>
            <w:r w:rsidRPr="00775A4A">
              <w:rPr>
                <w:vertAlign w:val="superscript"/>
              </w:rPr>
              <w:t>7</w:t>
            </w:r>
            <w:r>
              <w:t xml:space="preserve">, </w:t>
            </w:r>
            <w:proofErr w:type="spellStart"/>
            <w:r>
              <w:t>Mingyi</w:t>
            </w:r>
            <w:proofErr w:type="spellEnd"/>
            <w:r>
              <w:t xml:space="preserve"> Guo</w:t>
            </w:r>
            <w:r w:rsidRPr="00775A4A">
              <w:rPr>
                <w:vertAlign w:val="superscript"/>
              </w:rPr>
              <w:t>1</w:t>
            </w:r>
            <w:r>
              <w:t>, Da Gong</w:t>
            </w:r>
            <w:r w:rsidRPr="00775A4A">
              <w:rPr>
                <w:vertAlign w:val="superscript"/>
              </w:rPr>
              <w:t>1</w:t>
            </w:r>
            <w:r>
              <w:t>,</w:t>
            </w:r>
            <w:r w:rsidR="00504290">
              <w:t xml:space="preserve"> </w:t>
            </w:r>
            <w:proofErr w:type="spellStart"/>
            <w:r>
              <w:t>Jialin</w:t>
            </w:r>
            <w:proofErr w:type="spellEnd"/>
            <w:r>
              <w:t xml:space="preserve"> Hong</w:t>
            </w:r>
            <w:r w:rsidRPr="00775A4A">
              <w:rPr>
                <w:vertAlign w:val="superscript"/>
              </w:rPr>
              <w:t>1</w:t>
            </w:r>
            <w:r>
              <w:t xml:space="preserve">, </w:t>
            </w:r>
            <w:proofErr w:type="spellStart"/>
            <w:r>
              <w:t>Yazhou</w:t>
            </w:r>
            <w:proofErr w:type="spellEnd"/>
            <w:r>
              <w:t xml:space="preserve"> Li</w:t>
            </w:r>
            <w:r w:rsidRPr="00775A4A">
              <w:rPr>
                <w:vertAlign w:val="superscript"/>
              </w:rPr>
              <w:t>2</w:t>
            </w:r>
            <w:r w:rsidR="00F95647">
              <w:t xml:space="preserve">, </w:t>
            </w:r>
            <w:r w:rsidR="00365774">
              <w:t>Yang Yang</w:t>
            </w:r>
            <w:r w:rsidR="00365774" w:rsidRPr="00775A4A">
              <w:rPr>
                <w:vertAlign w:val="superscript"/>
              </w:rPr>
              <w:t>1</w:t>
            </w:r>
            <w:r w:rsidR="00365774">
              <w:t>, Ting Wang</w:t>
            </w:r>
            <w:r w:rsidR="00365774" w:rsidRPr="00775A4A">
              <w:rPr>
                <w:vertAlign w:val="superscript"/>
              </w:rPr>
              <w:t>1</w:t>
            </w:r>
            <w:r w:rsidR="00365774">
              <w:t xml:space="preserve">, </w:t>
            </w:r>
            <w:proofErr w:type="spellStart"/>
            <w:r w:rsidR="00F95647" w:rsidRPr="00F95647">
              <w:t>Liangyu</w:t>
            </w:r>
            <w:proofErr w:type="spellEnd"/>
            <w:r w:rsidR="00F95647" w:rsidRPr="00F95647">
              <w:t xml:space="preserve"> Wang</w:t>
            </w:r>
            <w:r w:rsidR="00F95647" w:rsidRPr="00F95647">
              <w:rPr>
                <w:vertAlign w:val="superscript"/>
              </w:rPr>
              <w:t>1</w:t>
            </w:r>
            <w:r w:rsidR="00F95647">
              <w:t>,</w:t>
            </w:r>
            <w:r w:rsidR="00F95647" w:rsidRPr="00F95647">
              <w:t xml:space="preserve"> </w:t>
            </w:r>
            <w:proofErr w:type="spellStart"/>
            <w:r w:rsidR="00426048" w:rsidRPr="00426048">
              <w:t>Xianhe</w:t>
            </w:r>
            <w:proofErr w:type="spellEnd"/>
            <w:r w:rsidR="00426048" w:rsidRPr="00426048">
              <w:t xml:space="preserve"> Zheng</w:t>
            </w:r>
            <w:r w:rsidR="00426048" w:rsidRPr="00426048">
              <w:rPr>
                <w:vertAlign w:val="superscript"/>
              </w:rPr>
              <w:t>1</w:t>
            </w:r>
            <w:r w:rsidR="00426048">
              <w:t xml:space="preserve">, </w:t>
            </w:r>
            <w:r w:rsidR="00F95647" w:rsidRPr="00F95647">
              <w:t>Xu Zhang</w:t>
            </w:r>
            <w:r w:rsidR="00F95647" w:rsidRPr="00F95647">
              <w:rPr>
                <w:vertAlign w:val="superscript"/>
              </w:rPr>
              <w:t>1</w:t>
            </w:r>
          </w:p>
        </w:tc>
        <w:tc>
          <w:tcPr>
            <w:tcW w:w="4533" w:type="dxa"/>
            <w:shd w:val="clear" w:color="auto" w:fill="auto"/>
          </w:tcPr>
          <w:p w14:paraId="3B450943" w14:textId="4E4607B5" w:rsidR="00F95647" w:rsidRDefault="00F95647" w:rsidP="00F95647">
            <w:pPr>
              <w:pStyle w:val="AWI-Participants"/>
            </w:pPr>
            <w:r w:rsidRPr="00F95647">
              <w:rPr>
                <w:vertAlign w:val="superscript"/>
              </w:rPr>
              <w:t>1</w:t>
            </w:r>
            <w:r>
              <w:t xml:space="preserve">Polar Research </w:t>
            </w:r>
            <w:proofErr w:type="spellStart"/>
            <w:r>
              <w:t>Center</w:t>
            </w:r>
            <w:proofErr w:type="spellEnd"/>
            <w:r>
              <w:t xml:space="preserve">, Institute for Polar Science and Engineering, </w:t>
            </w:r>
            <w:bookmarkStart w:id="2" w:name="_GoBack"/>
            <w:r>
              <w:t>Jilin University, Changchun, China</w:t>
            </w:r>
            <w:bookmarkEnd w:id="2"/>
          </w:p>
          <w:p w14:paraId="62813444" w14:textId="4769BC8A" w:rsidR="00F95647" w:rsidRDefault="00F95647" w:rsidP="00F95647">
            <w:pPr>
              <w:pStyle w:val="AWI-Participants"/>
            </w:pPr>
            <w:r w:rsidRPr="00F95647">
              <w:rPr>
                <w:vertAlign w:val="superscript"/>
              </w:rPr>
              <w:t>2</w:t>
            </w:r>
            <w:r>
              <w:t>China University of Geosciences, Beijing, China</w:t>
            </w:r>
          </w:p>
          <w:p w14:paraId="11BF083F" w14:textId="562989E7" w:rsidR="00F95647" w:rsidRDefault="00F95647" w:rsidP="00F95647">
            <w:pPr>
              <w:pStyle w:val="AWI-Participants"/>
            </w:pPr>
            <w:r w:rsidRPr="00F95647">
              <w:rPr>
                <w:vertAlign w:val="superscript"/>
              </w:rPr>
              <w:t>3</w:t>
            </w:r>
            <w:r>
              <w:t>East China Normal University, Shanghai, China</w:t>
            </w:r>
          </w:p>
          <w:p w14:paraId="68AC0FCF" w14:textId="12770640" w:rsidR="00F95647" w:rsidRDefault="00F95647" w:rsidP="00F95647">
            <w:pPr>
              <w:pStyle w:val="AWI-Participants"/>
            </w:pPr>
            <w:r w:rsidRPr="00F95647">
              <w:rPr>
                <w:vertAlign w:val="superscript"/>
              </w:rPr>
              <w:t>4</w:t>
            </w:r>
            <w:r>
              <w:t xml:space="preserve">Hangzhou </w:t>
            </w:r>
            <w:proofErr w:type="spellStart"/>
            <w:r>
              <w:t>Dianzi</w:t>
            </w:r>
            <w:proofErr w:type="spellEnd"/>
            <w:r>
              <w:t xml:space="preserve"> University, Hangzhou, China</w:t>
            </w:r>
          </w:p>
          <w:p w14:paraId="6514F1DD" w14:textId="03E75A4C" w:rsidR="00F95647" w:rsidRDefault="00F95647" w:rsidP="00F95647">
            <w:pPr>
              <w:pStyle w:val="AWI-Participants"/>
            </w:pPr>
            <w:r w:rsidRPr="00F95647">
              <w:rPr>
                <w:vertAlign w:val="superscript"/>
              </w:rPr>
              <w:t>5</w:t>
            </w:r>
            <w:r>
              <w:t>Nanjing Institute of Astronomical Optics and Technology, National Astronomical Observatories, CAS, Nanjing, China</w:t>
            </w:r>
          </w:p>
          <w:p w14:paraId="6F8F8ABE" w14:textId="0A57E269" w:rsidR="00F95647" w:rsidRDefault="00F95647" w:rsidP="00F95647">
            <w:pPr>
              <w:pStyle w:val="AWI-Participants"/>
            </w:pPr>
            <w:r w:rsidRPr="00F95647">
              <w:rPr>
                <w:vertAlign w:val="superscript"/>
              </w:rPr>
              <w:t>6</w:t>
            </w:r>
            <w:r>
              <w:t>Polar Research Institute of China, Shanghai, China</w:t>
            </w:r>
          </w:p>
          <w:p w14:paraId="37CA570F" w14:textId="4A7FF96F" w:rsidR="00F95647" w:rsidRPr="00CA542C" w:rsidRDefault="00F95647" w:rsidP="00F95647">
            <w:pPr>
              <w:pStyle w:val="AWI-Participants"/>
            </w:pPr>
            <w:r w:rsidRPr="00F95647">
              <w:rPr>
                <w:vertAlign w:val="superscript"/>
              </w:rPr>
              <w:t>7</w:t>
            </w:r>
            <w:r>
              <w:t>School of Mathematics, Jilin University, Changchun, China</w:t>
            </w:r>
          </w:p>
        </w:tc>
      </w:tr>
    </w:tbl>
    <w:p w14:paraId="2E96FAF6" w14:textId="77777777" w:rsidR="00EC5C7B" w:rsidRDefault="00EC5C7B" w:rsidP="001C4ACE">
      <w:pPr>
        <w:pStyle w:val="AWI-Standard"/>
      </w:pPr>
    </w:p>
    <w:p w14:paraId="3C27FD5C" w14:textId="19172307" w:rsidR="00F95647" w:rsidRDefault="00B1030F" w:rsidP="00B1030F">
      <w:pPr>
        <w:pStyle w:val="AWI-Standard"/>
      </w:pPr>
      <w:r>
        <w:t xml:space="preserve">The project </w:t>
      </w:r>
      <w:r>
        <w:rPr>
          <w:rStyle w:val="h9rpj5gkjhrwbrml3kdi"/>
        </w:rPr>
        <w:t>aims</w:t>
      </w:r>
      <w:r>
        <w:t xml:space="preserve"> to explore Subglacial Lake </w:t>
      </w:r>
      <w:proofErr w:type="spellStart"/>
      <w:r>
        <w:t>Qilin</w:t>
      </w:r>
      <w:proofErr w:type="spellEnd"/>
      <w:r>
        <w:rPr>
          <w:rStyle w:val="g9ddarlprace29mmtwab"/>
        </w:rPr>
        <w:t>,</w:t>
      </w:r>
      <w:r>
        <w:t xml:space="preserve"> located within long subglacial canyons in Princess Elizabeth Land, East Antarctica. </w:t>
      </w:r>
      <w:r>
        <w:rPr>
          <w:rStyle w:val="h9rpj5gkjhrwbrml3kdi"/>
        </w:rPr>
        <w:t>This</w:t>
      </w:r>
      <w:r>
        <w:t xml:space="preserve"> lake is </w:t>
      </w:r>
      <w:r w:rsidR="000637E2">
        <w:t>~</w:t>
      </w:r>
      <w:r>
        <w:rPr>
          <w:rStyle w:val="h9rpj5gkjhrwbrml3kdi"/>
        </w:rPr>
        <w:t>42 km</w:t>
      </w:r>
      <w:r>
        <w:t xml:space="preserve"> in length and </w:t>
      </w:r>
      <w:r>
        <w:rPr>
          <w:rStyle w:val="g9ddarlprace29mmtwab"/>
        </w:rPr>
        <w:t xml:space="preserve">has an area of </w:t>
      </w:r>
      <w:r>
        <w:t xml:space="preserve">370 </w:t>
      </w:r>
      <w:r w:rsidR="000637E2">
        <w:t>km</w:t>
      </w:r>
      <w:r w:rsidR="000637E2" w:rsidRPr="0042497D">
        <w:rPr>
          <w:vertAlign w:val="superscript"/>
        </w:rPr>
        <w:t>2</w:t>
      </w:r>
      <w:r>
        <w:t xml:space="preserve">, making it one of the largest subglacial </w:t>
      </w:r>
      <w:r w:rsidR="00C53EE9">
        <w:t>reservoirs</w:t>
      </w:r>
      <w:r>
        <w:t xml:space="preserve"> in Antarctica</w:t>
      </w:r>
      <w:r w:rsidR="00C53EE9">
        <w:t xml:space="preserve"> (Yan et al. 2022)</w:t>
      </w:r>
      <w:r>
        <w:t>.</w:t>
      </w:r>
      <w:r w:rsidR="000637E2">
        <w:t xml:space="preserve"> </w:t>
      </w:r>
      <w:r>
        <w:t xml:space="preserve">The lake is overlain with an average ice thickness of about 3600 m. The estimated maximal water thickness in the central part of the lake is ~240 m. </w:t>
      </w:r>
      <w:r w:rsidR="000637E2">
        <w:t xml:space="preserve">The average </w:t>
      </w:r>
      <w:r w:rsidR="000637E2">
        <w:rPr>
          <w:rStyle w:val="h9rpj5gkjhrwbrml3kdi"/>
        </w:rPr>
        <w:t>temperature of the ice</w:t>
      </w:r>
      <w:r w:rsidR="000637E2">
        <w:t xml:space="preserve"> at the surface </w:t>
      </w:r>
      <w:r>
        <w:t>is –41 °C.</w:t>
      </w:r>
    </w:p>
    <w:p w14:paraId="374B2527" w14:textId="23D8D2F6" w:rsidR="00196B43" w:rsidRDefault="000637E2" w:rsidP="00196B43">
      <w:pPr>
        <w:pStyle w:val="AWI-Standard"/>
      </w:pPr>
      <w:r>
        <w:t xml:space="preserve">Subglacial Lake </w:t>
      </w:r>
      <w:proofErr w:type="spellStart"/>
      <w:r>
        <w:t>Qilin</w:t>
      </w:r>
      <w:proofErr w:type="spellEnd"/>
      <w:r>
        <w:t xml:space="preserve"> </w:t>
      </w:r>
      <w:r>
        <w:rPr>
          <w:rStyle w:val="h9rpj5gkjhrwbrml3kdi"/>
        </w:rPr>
        <w:t>has been</w:t>
      </w:r>
      <w:r>
        <w:t xml:space="preserve"> chosen as a candidate for exploration </w:t>
      </w:r>
      <w:r w:rsidR="00196B43" w:rsidRPr="00196B43">
        <w:t xml:space="preserve">because it is </w:t>
      </w:r>
      <w:r>
        <w:rPr>
          <w:rStyle w:val="h9rpj5gkjhrwbrml3kdi"/>
        </w:rPr>
        <w:t xml:space="preserve">(a) </w:t>
      </w:r>
      <w:r w:rsidR="00196B43" w:rsidRPr="000637E2">
        <w:t xml:space="preserve">logistically accessible </w:t>
      </w:r>
      <w:r>
        <w:t>through Chinese scientific field operations</w:t>
      </w:r>
      <w:r>
        <w:rPr>
          <w:rStyle w:val="g9ddarlprace29mmtwab"/>
        </w:rPr>
        <w:t xml:space="preserve"> (</w:t>
      </w:r>
      <w:r w:rsidR="00C53EE9">
        <w:rPr>
          <w:rStyle w:val="g9ddarlprace29mmtwab"/>
        </w:rPr>
        <w:t xml:space="preserve">it is located </w:t>
      </w:r>
      <w:r>
        <w:t>~</w:t>
      </w:r>
      <w:r w:rsidR="00720C2B">
        <w:t>52</w:t>
      </w:r>
      <w:r>
        <w:t xml:space="preserve">0 </w:t>
      </w:r>
      <w:r>
        <w:rPr>
          <w:rStyle w:val="h9rpj5gkjhrwbrml3kdi"/>
        </w:rPr>
        <w:t>km</w:t>
      </w:r>
      <w:r>
        <w:t xml:space="preserve"> from the Chinese Zhongshan Station)</w:t>
      </w:r>
      <w:r w:rsidR="00196B43">
        <w:rPr>
          <w:rStyle w:val="h9rpj5gkjhrwbrml3kdi"/>
        </w:rPr>
        <w:t>; (b)</w:t>
      </w:r>
      <w:r w:rsidR="00196B43" w:rsidRPr="00196B43">
        <w:t xml:space="preserve"> thought to have been isolated for potentially</w:t>
      </w:r>
      <w:r w:rsidR="00196B43">
        <w:t xml:space="preserve"> hundreds of thousands of years and </w:t>
      </w:r>
      <w:r w:rsidR="00196B43" w:rsidRPr="00196B43">
        <w:t>may provide unique information about microbial evolution, past climate, and the formation of the ice sheet</w:t>
      </w:r>
      <w:r w:rsidR="00196B43">
        <w:t xml:space="preserve">; (c) </w:t>
      </w:r>
      <w:r w:rsidR="00196B43" w:rsidRPr="000637E2">
        <w:t>representative of</w:t>
      </w:r>
      <w:r w:rsidR="00196B43">
        <w:t xml:space="preserve"> many other deep subglacial Antarctic lakes in terms of pressure and temperature.</w:t>
      </w:r>
      <w:r w:rsidR="00254BBE">
        <w:t xml:space="preserve"> During the 2024-2025 </w:t>
      </w:r>
      <w:r w:rsidR="00254BBE">
        <w:rPr>
          <w:rStyle w:val="h9rpj5gkjhrwbrml3kdi"/>
        </w:rPr>
        <w:t>season,</w:t>
      </w:r>
      <w:r w:rsidR="00254BBE">
        <w:t xml:space="preserve"> field radar and seismic </w:t>
      </w:r>
      <w:r w:rsidR="00254BBE">
        <w:rPr>
          <w:rStyle w:val="h9rpj5gkjhrwbrml3kdi"/>
        </w:rPr>
        <w:t>surveys</w:t>
      </w:r>
      <w:r w:rsidR="00254BBE">
        <w:t xml:space="preserve"> were </w:t>
      </w:r>
      <w:r w:rsidR="00254BBE">
        <w:rPr>
          <w:rStyle w:val="h9rpj5gkjhrwbrml3kdi"/>
        </w:rPr>
        <w:t>conducted</w:t>
      </w:r>
      <w:r w:rsidR="00254BBE">
        <w:t xml:space="preserve"> above Subglacial Lake </w:t>
      </w:r>
      <w:proofErr w:type="spellStart"/>
      <w:r w:rsidR="00254BBE">
        <w:t>Qilin</w:t>
      </w:r>
      <w:proofErr w:type="spellEnd"/>
      <w:r w:rsidR="00254BBE">
        <w:rPr>
          <w:rStyle w:val="g9ddarlprace29mmtwab"/>
        </w:rPr>
        <w:t>,</w:t>
      </w:r>
      <w:r w:rsidR="00254BBE">
        <w:t xml:space="preserve"> and the optimal location </w:t>
      </w:r>
      <w:r w:rsidR="00254BBE">
        <w:rPr>
          <w:rStyle w:val="h9rpj5gkjhrwbrml3kdi"/>
        </w:rPr>
        <w:t>for</w:t>
      </w:r>
      <w:r w:rsidR="00254BBE">
        <w:t xml:space="preserve"> the drilling site was </w:t>
      </w:r>
      <w:r w:rsidR="00254BBE">
        <w:rPr>
          <w:rStyle w:val="h9rpj5gkjhrwbrml3kdi"/>
        </w:rPr>
        <w:t>identified</w:t>
      </w:r>
      <w:r w:rsidR="00254BBE">
        <w:t xml:space="preserve"> in the central part of the lake.</w:t>
      </w:r>
    </w:p>
    <w:p w14:paraId="2531773D" w14:textId="6F1294A1" w:rsidR="00196B43" w:rsidRDefault="00C5026E" w:rsidP="001C4ACE">
      <w:pPr>
        <w:pStyle w:val="AWI-Standard"/>
      </w:pPr>
      <w:r>
        <w:t xml:space="preserve">The proposed exploration </w:t>
      </w:r>
      <w:r>
        <w:rPr>
          <w:rStyle w:val="g9ddarlprace29mmtwab"/>
        </w:rPr>
        <w:t xml:space="preserve">concept </w:t>
      </w:r>
      <w:r>
        <w:t xml:space="preserve">is based on </w:t>
      </w:r>
      <w:r>
        <w:rPr>
          <w:rStyle w:val="h9rpj5gkjhrwbrml3kdi"/>
        </w:rPr>
        <w:t>a</w:t>
      </w:r>
      <w:r>
        <w:t xml:space="preserve"> deep clean hot water drilling system</w:t>
      </w:r>
      <w:r>
        <w:rPr>
          <w:rStyle w:val="h9rpj5gkjhrwbrml3kdi"/>
        </w:rPr>
        <w:t>, which</w:t>
      </w:r>
      <w:r>
        <w:t xml:space="preserve"> is considered </w:t>
      </w:r>
      <w:r>
        <w:rPr>
          <w:rStyle w:val="h9rpj5gkjhrwbrml3kdi"/>
        </w:rPr>
        <w:t>to be</w:t>
      </w:r>
      <w:r>
        <w:t xml:space="preserve"> the most </w:t>
      </w:r>
      <w:r>
        <w:rPr>
          <w:rStyle w:val="h9rpj5gkjhrwbrml3kdi"/>
        </w:rPr>
        <w:t>environmentally</w:t>
      </w:r>
      <w:r>
        <w:t xml:space="preserve"> friendly access technology</w:t>
      </w:r>
      <w:r>
        <w:rPr>
          <w:rStyle w:val="g9ddarlprace29mmtwab"/>
        </w:rPr>
        <w:t xml:space="preserve"> at the moment</w:t>
      </w:r>
      <w:r>
        <w:t xml:space="preserve">. We also </w:t>
      </w:r>
      <w:r>
        <w:rPr>
          <w:rStyle w:val="h9rpj5gkjhrwbrml3kdi"/>
        </w:rPr>
        <w:t>plan</w:t>
      </w:r>
      <w:r>
        <w:t xml:space="preserve"> to test </w:t>
      </w:r>
      <w:r>
        <w:rPr>
          <w:rStyle w:val="g9ddarlprace29mmtwab"/>
        </w:rPr>
        <w:t xml:space="preserve">an </w:t>
      </w:r>
      <w:r>
        <w:t xml:space="preserve">alternative option for subglacial exploration </w:t>
      </w:r>
      <w:r w:rsidRPr="00C5026E">
        <w:rPr>
          <w:lang w:val="en-US"/>
        </w:rPr>
        <w:t>–</w:t>
      </w:r>
      <w:r>
        <w:rPr>
          <w:rStyle w:val="h9rpj5gkjhrwbrml3kdi"/>
        </w:rPr>
        <w:t xml:space="preserve"> </w:t>
      </w:r>
      <w:proofErr w:type="spellStart"/>
      <w:r w:rsidR="00720C2B">
        <w:rPr>
          <w:rStyle w:val="h9rpj5gkjhrwbrml3kdi"/>
        </w:rPr>
        <w:t>combimnation</w:t>
      </w:r>
      <w:proofErr w:type="spellEnd"/>
      <w:r w:rsidR="00720C2B">
        <w:rPr>
          <w:rStyle w:val="h9rpj5gkjhrwbrml3kdi"/>
        </w:rPr>
        <w:t xml:space="preserve"> of hot-water drilling with </w:t>
      </w:r>
      <w:r>
        <w:rPr>
          <w:rStyle w:val="h9rpj5gkjhrwbrml3kdi"/>
        </w:rPr>
        <w:t>the</w:t>
      </w:r>
      <w:r w:rsidR="00720C2B">
        <w:rPr>
          <w:rStyle w:val="h9rpj5gkjhrwbrml3kdi"/>
        </w:rPr>
        <w:t>rmal</w:t>
      </w:r>
      <w:r>
        <w:t xml:space="preserve"> </w:t>
      </w:r>
      <w:r w:rsidR="00720C2B">
        <w:t xml:space="preserve">drilling by </w:t>
      </w:r>
      <w:proofErr w:type="spellStart"/>
      <w:r>
        <w:t>RECoverable</w:t>
      </w:r>
      <w:proofErr w:type="spellEnd"/>
      <w:r>
        <w:t xml:space="preserve"> Autonomous Sonde (RECAS)</w:t>
      </w:r>
      <w:r w:rsidR="00720C2B">
        <w:t>.</w:t>
      </w:r>
      <w:r w:rsidR="00720C2B">
        <w:rPr>
          <w:rStyle w:val="g9ddarlprace29mmtwab"/>
        </w:rPr>
        <w:t xml:space="preserve"> RECAS</w:t>
      </w:r>
      <w:r>
        <w:t xml:space="preserve"> allows </w:t>
      </w:r>
      <w:r>
        <w:rPr>
          <w:rStyle w:val="g9ddarlprace29mmtwab"/>
        </w:rPr>
        <w:t xml:space="preserve">us </w:t>
      </w:r>
      <w:r>
        <w:t>to drill ice</w:t>
      </w:r>
      <w:r>
        <w:rPr>
          <w:rStyle w:val="g9ddarlprace29mmtwab"/>
        </w:rPr>
        <w:t xml:space="preserve"> both</w:t>
      </w:r>
      <w:r>
        <w:t xml:space="preserve"> downward and upward</w:t>
      </w:r>
      <w:r>
        <w:rPr>
          <w:rStyle w:val="g9ddarlprace29mmtwab"/>
        </w:rPr>
        <w:t>,</w:t>
      </w:r>
      <w:r>
        <w:t xml:space="preserve"> and to sample subglacial water</w:t>
      </w:r>
      <w:r>
        <w:rPr>
          <w:rStyle w:val="g9ddarlprace29mmtwab"/>
        </w:rPr>
        <w:t>,</w:t>
      </w:r>
      <w:r>
        <w:t xml:space="preserve"> while </w:t>
      </w:r>
      <w:r>
        <w:rPr>
          <w:rStyle w:val="g9ddarlprace29mmtwab"/>
        </w:rPr>
        <w:t xml:space="preserve">keeping </w:t>
      </w:r>
      <w:r>
        <w:t>the subglacial lake isolated from the surface.</w:t>
      </w:r>
    </w:p>
    <w:p w14:paraId="45D2140B" w14:textId="22400189" w:rsidR="00F95647" w:rsidRPr="00426048" w:rsidRDefault="0042497D" w:rsidP="001C4ACE">
      <w:pPr>
        <w:pStyle w:val="AWI-Standard"/>
        <w:rPr>
          <w:lang w:val="en-US"/>
        </w:rPr>
      </w:pPr>
      <w:r w:rsidRPr="0042497D">
        <w:rPr>
          <w:rStyle w:val="h9rpj5gkjhrwbrml3kdi"/>
        </w:rPr>
        <w:lastRenderedPageBreak/>
        <w:t>The proposed drilling system in</w:t>
      </w:r>
      <w:r>
        <w:rPr>
          <w:rStyle w:val="h9rpj5gkjhrwbrml3kdi"/>
        </w:rPr>
        <w:t>cludes eight subsystems</w:t>
      </w:r>
      <w:r w:rsidRPr="0042497D">
        <w:rPr>
          <w:rStyle w:val="h9rpj5gkjhrwbrml3kdi"/>
        </w:rPr>
        <w:t>: (1) primary</w:t>
      </w:r>
      <w:r>
        <w:rPr>
          <w:rStyle w:val="h9rpj5gkjhrwbrml3kdi"/>
        </w:rPr>
        <w:t xml:space="preserve"> </w:t>
      </w:r>
      <w:r w:rsidRPr="0042497D">
        <w:rPr>
          <w:rStyle w:val="h9rpj5gkjhrwbrml3kdi"/>
        </w:rPr>
        <w:t>heating system, (2) secondary heating system</w:t>
      </w:r>
      <w:r w:rsidR="00C53EE9">
        <w:rPr>
          <w:rStyle w:val="h9rpj5gkjhrwbrml3kdi"/>
        </w:rPr>
        <w:t xml:space="preserve"> with high-pressure pu</w:t>
      </w:r>
      <w:r>
        <w:rPr>
          <w:rStyle w:val="h9rpj5gkjhrwbrml3kdi"/>
        </w:rPr>
        <w:t>mps</w:t>
      </w:r>
      <w:r w:rsidRPr="0042497D">
        <w:rPr>
          <w:rStyle w:val="h9rpj5gkjhrwbrml3kdi"/>
        </w:rPr>
        <w:t>, (3) cleaning system, (4) hoisting system of</w:t>
      </w:r>
      <w:r>
        <w:rPr>
          <w:rStyle w:val="h9rpj5gkjhrwbrml3kdi"/>
        </w:rPr>
        <w:t xml:space="preserve"> </w:t>
      </w:r>
      <w:r w:rsidRPr="0042497D">
        <w:rPr>
          <w:rStyle w:val="h9rpj5gkjhrwbrml3kdi"/>
        </w:rPr>
        <w:t>the main hole, (5) downhole drill-nozzle, (6) return water system, (7) electrical generators</w:t>
      </w:r>
      <w:r>
        <w:rPr>
          <w:rStyle w:val="h9rpj5gkjhrwbrml3kdi"/>
        </w:rPr>
        <w:t>, and (8) control system</w:t>
      </w:r>
      <w:r w:rsidR="006569C0">
        <w:rPr>
          <w:rStyle w:val="h9rpj5gkjhrwbrml3kdi"/>
        </w:rPr>
        <w:t xml:space="preserve"> (Talalay et al. 2024)</w:t>
      </w:r>
      <w:r>
        <w:rPr>
          <w:rStyle w:val="h9rpj5gkjhrwbrml3kdi"/>
        </w:rPr>
        <w:t>.</w:t>
      </w:r>
      <w:r w:rsidR="00426048">
        <w:rPr>
          <w:rStyle w:val="h9rpj5gkjhrwbrml3kdi"/>
        </w:rPr>
        <w:t xml:space="preserve"> </w:t>
      </w:r>
      <w:r w:rsidR="00426048">
        <w:t>The total estimated weight of the system</w:t>
      </w:r>
      <w:r w:rsidR="00426048">
        <w:rPr>
          <w:rStyle w:val="g9ddarlprace29mmtwab"/>
        </w:rPr>
        <w:t>,</w:t>
      </w:r>
      <w:r w:rsidR="00426048">
        <w:t xml:space="preserve"> </w:t>
      </w:r>
      <w:r w:rsidR="00426048">
        <w:rPr>
          <w:rStyle w:val="h9rpj5gkjhrwbrml3kdi"/>
        </w:rPr>
        <w:t>excluding</w:t>
      </w:r>
      <w:r w:rsidR="00426048">
        <w:t xml:space="preserve"> generators and fuel</w:t>
      </w:r>
      <w:r w:rsidR="00426048">
        <w:rPr>
          <w:rStyle w:val="g9ddarlprace29mmtwab"/>
        </w:rPr>
        <w:t>, is</w:t>
      </w:r>
      <w:r w:rsidR="00426048">
        <w:t xml:space="preserve"> 85.8 </w:t>
      </w:r>
      <w:r w:rsidR="00426048">
        <w:rPr>
          <w:rStyle w:val="h9rpj5gkjhrwbrml3kdi"/>
        </w:rPr>
        <w:t>t</w:t>
      </w:r>
      <w:r w:rsidR="00426048">
        <w:t xml:space="preserve">. The working power of all </w:t>
      </w:r>
      <w:r w:rsidR="00426048">
        <w:rPr>
          <w:rStyle w:val="g9ddarlprace29mmtwab"/>
        </w:rPr>
        <w:t xml:space="preserve">the </w:t>
      </w:r>
      <w:r w:rsidR="00426048">
        <w:t xml:space="preserve">equipment </w:t>
      </w:r>
      <w:proofErr w:type="spellStart"/>
      <w:r w:rsidR="00426048">
        <w:rPr>
          <w:lang w:val="de-DE"/>
        </w:rPr>
        <w:t>is</w:t>
      </w:r>
      <w:proofErr w:type="spellEnd"/>
      <w:r w:rsidR="00426048">
        <w:rPr>
          <w:lang w:val="de-DE"/>
        </w:rPr>
        <w:t xml:space="preserve"> in </w:t>
      </w:r>
      <w:proofErr w:type="spellStart"/>
      <w:r w:rsidR="00426048">
        <w:rPr>
          <w:lang w:val="de-DE"/>
        </w:rPr>
        <w:t>range</w:t>
      </w:r>
      <w:proofErr w:type="spellEnd"/>
      <w:r w:rsidR="00426048">
        <w:rPr>
          <w:lang w:val="de-DE"/>
        </w:rPr>
        <w:t xml:space="preserve"> </w:t>
      </w:r>
      <w:proofErr w:type="spellStart"/>
      <w:r w:rsidR="00426048">
        <w:rPr>
          <w:lang w:val="de-DE"/>
        </w:rPr>
        <w:t>of</w:t>
      </w:r>
      <w:proofErr w:type="spellEnd"/>
      <w:r w:rsidR="00426048">
        <w:rPr>
          <w:lang w:val="de-DE"/>
        </w:rPr>
        <w:t xml:space="preserve"> 200-275 kW, </w:t>
      </w:r>
      <w:proofErr w:type="spellStart"/>
      <w:r w:rsidR="00426048">
        <w:rPr>
          <w:lang w:val="de-DE"/>
        </w:rPr>
        <w:t>and</w:t>
      </w:r>
      <w:proofErr w:type="spellEnd"/>
      <w:r w:rsidR="00426048">
        <w:rPr>
          <w:lang w:val="de-DE"/>
        </w:rPr>
        <w:t xml:space="preserve"> </w:t>
      </w:r>
      <w:r w:rsidR="00254BBE">
        <w:rPr>
          <w:rStyle w:val="h9rpj5gkjhrwbrml3kdi"/>
        </w:rPr>
        <w:t xml:space="preserve">the estimated </w:t>
      </w:r>
      <w:proofErr w:type="spellStart"/>
      <w:r w:rsidR="00254BBE">
        <w:rPr>
          <w:rStyle w:val="h9rpj5gkjhrwbrml3kdi"/>
        </w:rPr>
        <w:t>disel</w:t>
      </w:r>
      <w:proofErr w:type="spellEnd"/>
      <w:r w:rsidR="00254BBE">
        <w:rPr>
          <w:rStyle w:val="h9rpj5gkjhrwbrml3kdi"/>
        </w:rPr>
        <w:t xml:space="preserve"> fuel consumption</w:t>
      </w:r>
      <w:r w:rsidR="00B34AAF">
        <w:rPr>
          <w:rStyle w:val="h9rpj5gkjhrwbrml3kdi"/>
        </w:rPr>
        <w:t xml:space="preserve"> for drilling and maintaining of the access hole with depth of 3600 m</w:t>
      </w:r>
      <w:r w:rsidR="00254BBE">
        <w:rPr>
          <w:rStyle w:val="h9rpj5gkjhrwbrml3kdi"/>
        </w:rPr>
        <w:t xml:space="preserve"> is approximately 110 t.</w:t>
      </w:r>
      <w:r w:rsidR="00B34AAF">
        <w:rPr>
          <w:rStyle w:val="h9rpj5gkjhrwbrml3kdi"/>
        </w:rPr>
        <w:t xml:space="preserve"> </w:t>
      </w:r>
    </w:p>
    <w:p w14:paraId="1C5F1A4D" w14:textId="79237038" w:rsidR="00B34AAF" w:rsidRPr="00B34AAF" w:rsidRDefault="00254BBE" w:rsidP="00B34AAF">
      <w:pPr>
        <w:pStyle w:val="AWI-Standard"/>
        <w:rPr>
          <w:lang w:val="en-US"/>
        </w:rPr>
      </w:pPr>
      <w:r>
        <w:t>All the drilling components passed through intensive</w:t>
      </w:r>
      <w:r w:rsidR="006569C0" w:rsidRPr="006569C0">
        <w:rPr>
          <w:lang w:val="en-US"/>
        </w:rPr>
        <w:t xml:space="preserve"> subassembly test</w:t>
      </w:r>
      <w:r w:rsidR="006569C0">
        <w:rPr>
          <w:lang w:val="en-US"/>
        </w:rPr>
        <w:t>s, and the whole sys</w:t>
      </w:r>
      <w:r w:rsidR="00B34AAF">
        <w:rPr>
          <w:lang w:val="en-US"/>
        </w:rPr>
        <w:t xml:space="preserve">tem was tested in </w:t>
      </w:r>
      <w:proofErr w:type="spellStart"/>
      <w:r w:rsidR="00B34AAF">
        <w:rPr>
          <w:lang w:val="en-US"/>
        </w:rPr>
        <w:t>Qiaowei</w:t>
      </w:r>
      <w:proofErr w:type="spellEnd"/>
      <w:r w:rsidR="00B34AAF">
        <w:rPr>
          <w:lang w:val="en-US"/>
        </w:rPr>
        <w:t xml:space="preserve"> Lab,</w:t>
      </w:r>
      <w:r w:rsidR="006569C0">
        <w:rPr>
          <w:lang w:val="en-US"/>
        </w:rPr>
        <w:t xml:space="preserve"> Jilin University, Changchun, China. </w:t>
      </w:r>
      <w:r w:rsidR="006569C0">
        <w:t xml:space="preserve">According to the proposed schedule, the hot-water drilling system will be </w:t>
      </w:r>
      <w:r w:rsidR="006569C0">
        <w:rPr>
          <w:rStyle w:val="h9rpj5gkjhrwbrml3kdi"/>
        </w:rPr>
        <w:t>delivered</w:t>
      </w:r>
      <w:r w:rsidR="006569C0">
        <w:t xml:space="preserve"> to </w:t>
      </w:r>
      <w:r w:rsidR="006569C0">
        <w:rPr>
          <w:rStyle w:val="h9rpj5gkjhrwbrml3kdi"/>
        </w:rPr>
        <w:t>Antarctica</w:t>
      </w:r>
      <w:r w:rsidR="006569C0">
        <w:t xml:space="preserve"> in November</w:t>
      </w:r>
      <w:r w:rsidR="006569C0">
        <w:rPr>
          <w:rStyle w:val="h9rpj5gkjhrwbrml3kdi"/>
        </w:rPr>
        <w:t>-</w:t>
      </w:r>
      <w:r w:rsidR="006569C0">
        <w:t>December 2025</w:t>
      </w:r>
      <w:r w:rsidR="006569C0">
        <w:rPr>
          <w:rStyle w:val="g9ddarlprace29mmtwab"/>
        </w:rPr>
        <w:t>,</w:t>
      </w:r>
      <w:r w:rsidR="006569C0">
        <w:t xml:space="preserve"> and then transported to the </w:t>
      </w:r>
      <w:r w:rsidR="006569C0">
        <w:rPr>
          <w:rStyle w:val="h9rpj5gkjhrwbrml3kdi"/>
        </w:rPr>
        <w:t>selected</w:t>
      </w:r>
      <w:r w:rsidR="006569C0">
        <w:t xml:space="preserve"> site. Access drilling </w:t>
      </w:r>
      <w:r w:rsidR="006569C0">
        <w:rPr>
          <w:rStyle w:val="h9rpj5gkjhrwbrml3kdi"/>
        </w:rPr>
        <w:t>to</w:t>
      </w:r>
      <w:r w:rsidR="006569C0">
        <w:t xml:space="preserve"> the lake is planned </w:t>
      </w:r>
      <w:r w:rsidR="006569C0">
        <w:rPr>
          <w:rStyle w:val="h9rpj5gkjhrwbrml3kdi"/>
        </w:rPr>
        <w:t>for</w:t>
      </w:r>
      <w:r w:rsidR="006569C0">
        <w:t xml:space="preserve"> January</w:t>
      </w:r>
      <w:r w:rsidR="006569C0">
        <w:rPr>
          <w:rStyle w:val="h9rpj5gkjhrwbrml3kdi"/>
        </w:rPr>
        <w:t>-February</w:t>
      </w:r>
      <w:r w:rsidR="006569C0">
        <w:t xml:space="preserve"> 2026.</w:t>
      </w:r>
      <w:r w:rsidR="00B34AAF" w:rsidRPr="00B34AAF">
        <w:rPr>
          <w:lang w:val="de-DE"/>
        </w:rPr>
        <w:t xml:space="preserve"> </w:t>
      </w:r>
      <w:r w:rsidR="00B34AAF">
        <w:rPr>
          <w:rStyle w:val="h9rpj5gkjhrwbrml3kdi"/>
        </w:rPr>
        <w:t>In an ideal scenario without any accidents, it would take approximately 170 h to penetrate through the ice with hot water drill, sample the water, and collect sediment samples.</w:t>
      </w:r>
    </w:p>
    <w:p w14:paraId="37C02DC0" w14:textId="2D0B7352" w:rsidR="006C0062" w:rsidRDefault="006C0062" w:rsidP="0030102E">
      <w:pPr>
        <w:pStyle w:val="AWI-Standard"/>
      </w:pPr>
    </w:p>
    <w:p w14:paraId="2FA9B830" w14:textId="7E6C00C6" w:rsidR="00D159AC" w:rsidRPr="00D75ECE" w:rsidRDefault="00D159AC">
      <w:pPr>
        <w:pStyle w:val="AWI-Heading4"/>
      </w:pPr>
      <w:r w:rsidRPr="00D75ECE">
        <w:t>References</w:t>
      </w:r>
      <w:r w:rsidR="006A67BE" w:rsidRPr="00D75ECE">
        <w:t xml:space="preserve"> </w:t>
      </w:r>
    </w:p>
    <w:p w14:paraId="25C7647D" w14:textId="655D7F4B" w:rsidR="006569C0" w:rsidRDefault="006569C0" w:rsidP="004E414A">
      <w:pPr>
        <w:pStyle w:val="AWI-References"/>
        <w:rPr>
          <w:lang w:val="en-US"/>
        </w:rPr>
      </w:pPr>
      <w:r w:rsidRPr="006569C0">
        <w:t xml:space="preserve">Talalay PG, Zhang N, Fan X, Li B, Li Y, Yu H, </w:t>
      </w:r>
      <w:proofErr w:type="spellStart"/>
      <w:r w:rsidRPr="006569C0">
        <w:t>Zuo</w:t>
      </w:r>
      <w:proofErr w:type="spellEnd"/>
      <w:r w:rsidRPr="006569C0">
        <w:t xml:space="preserve"> H, Li L, Shi G, Shi W, Guo M, Yang Y, Wang T, Gong D, Hong J, Li Y (2024) General concept of a deep hot water drilling system and drilling strategy to access Subglacial Lake </w:t>
      </w:r>
      <w:proofErr w:type="spellStart"/>
      <w:r w:rsidRPr="006569C0">
        <w:t>Qilin</w:t>
      </w:r>
      <w:proofErr w:type="spellEnd"/>
      <w:r w:rsidRPr="006569C0">
        <w:t>, East Antarctica. Arctic a</w:t>
      </w:r>
      <w:r>
        <w:t>nd Antarctic Research 70 (Supp):</w:t>
      </w:r>
      <w:r w:rsidRPr="006569C0">
        <w:t>54-64</w:t>
      </w:r>
      <w:r>
        <w:t>.</w:t>
      </w:r>
      <w:r w:rsidR="00C53EE9">
        <w:t xml:space="preserve"> </w:t>
      </w:r>
      <w:hyperlink r:id="rId9" w:history="1">
        <w:r w:rsidRPr="00CF0790">
          <w:rPr>
            <w:rStyle w:val="a3"/>
            <w:lang w:val="en-US"/>
          </w:rPr>
          <w:t>https://doi.org/10.30758/0555-2648-2024-70-4-514-524</w:t>
        </w:r>
      </w:hyperlink>
    </w:p>
    <w:p w14:paraId="6988F9D9" w14:textId="75F5B537" w:rsidR="005F09C0" w:rsidRPr="005F09C0" w:rsidRDefault="00C53EE9" w:rsidP="00C53EE9">
      <w:pPr>
        <w:pStyle w:val="AWI-References"/>
      </w:pPr>
      <w:r>
        <w:t>Yan S</w:t>
      </w:r>
      <w:r>
        <w:rPr>
          <w:rStyle w:val="al-author-delim"/>
        </w:rPr>
        <w:t xml:space="preserve">, </w:t>
      </w:r>
      <w:r>
        <w:t>Blankenship DD</w:t>
      </w:r>
      <w:r>
        <w:rPr>
          <w:rStyle w:val="al-author-delim"/>
        </w:rPr>
        <w:t xml:space="preserve">, </w:t>
      </w:r>
      <w:r>
        <w:t>Greenbaum JS</w:t>
      </w:r>
      <w:r>
        <w:rPr>
          <w:rStyle w:val="al-author-delim"/>
        </w:rPr>
        <w:t xml:space="preserve">, </w:t>
      </w:r>
      <w:r>
        <w:t>Young DA</w:t>
      </w:r>
      <w:r>
        <w:rPr>
          <w:rStyle w:val="al-author-delim"/>
        </w:rPr>
        <w:t xml:space="preserve">, </w:t>
      </w:r>
      <w:r>
        <w:t>Li L</w:t>
      </w:r>
      <w:r>
        <w:rPr>
          <w:rStyle w:val="al-author-delim"/>
        </w:rPr>
        <w:t xml:space="preserve">, </w:t>
      </w:r>
      <w:proofErr w:type="spellStart"/>
      <w:r>
        <w:t>Rutishauser</w:t>
      </w:r>
      <w:proofErr w:type="spellEnd"/>
      <w:r>
        <w:t xml:space="preserve"> A</w:t>
      </w:r>
      <w:r>
        <w:rPr>
          <w:rStyle w:val="al-author-delim"/>
        </w:rPr>
        <w:t xml:space="preserve">, </w:t>
      </w:r>
      <w:proofErr w:type="spellStart"/>
      <w:r>
        <w:t>Guo</w:t>
      </w:r>
      <w:proofErr w:type="spellEnd"/>
      <w:r>
        <w:t xml:space="preserve"> J</w:t>
      </w:r>
      <w:r>
        <w:rPr>
          <w:rStyle w:val="al-author-delim"/>
        </w:rPr>
        <w:t xml:space="preserve">, </w:t>
      </w:r>
      <w:r>
        <w:t>Roberts JL</w:t>
      </w:r>
      <w:r>
        <w:rPr>
          <w:rStyle w:val="al-author-delim"/>
        </w:rPr>
        <w:t xml:space="preserve">, </w:t>
      </w:r>
      <w:r>
        <w:t xml:space="preserve">van </w:t>
      </w:r>
      <w:proofErr w:type="spellStart"/>
      <w:r>
        <w:t>Ommen</w:t>
      </w:r>
      <w:proofErr w:type="spellEnd"/>
      <w:r>
        <w:t xml:space="preserve"> TD</w:t>
      </w:r>
      <w:r>
        <w:rPr>
          <w:rStyle w:val="al-author-delim"/>
        </w:rPr>
        <w:t xml:space="preserve">, </w:t>
      </w:r>
      <w:proofErr w:type="spellStart"/>
      <w:r>
        <w:t>Siegert</w:t>
      </w:r>
      <w:proofErr w:type="spellEnd"/>
      <w:r>
        <w:t xml:space="preserve"> MJ</w:t>
      </w:r>
      <w:r>
        <w:rPr>
          <w:rStyle w:val="al-author-delim"/>
        </w:rPr>
        <w:t xml:space="preserve">, </w:t>
      </w:r>
      <w:r>
        <w:t xml:space="preserve">Sun B (2022) A newly discovered subglacial lake in East Antarctica likely hosts a valuable sedimentary record of ice and climate </w:t>
      </w:r>
      <w:r w:rsidRPr="00C53EE9">
        <w:t>change</w:t>
      </w:r>
      <w:r w:rsidRPr="00C53EE9">
        <w:rPr>
          <w:i/>
        </w:rPr>
        <w:t xml:space="preserve">. </w:t>
      </w:r>
      <w:r w:rsidRPr="00C53EE9">
        <w:rPr>
          <w:rStyle w:val="af3"/>
          <w:i w:val="0"/>
        </w:rPr>
        <w:t>Geology</w:t>
      </w:r>
      <w:r>
        <w:t xml:space="preserve"> </w:t>
      </w:r>
      <w:r w:rsidRPr="00C53EE9">
        <w:t>50(8):</w:t>
      </w:r>
      <w:r>
        <w:t xml:space="preserve">949–953. </w:t>
      </w:r>
      <w:hyperlink r:id="rId10" w:tgtFrame="_blank" w:history="1">
        <w:r>
          <w:rPr>
            <w:rStyle w:val="a3"/>
          </w:rPr>
          <w:t>https://doi.org/10.1130/G50009.1</w:t>
        </w:r>
      </w:hyperlink>
    </w:p>
    <w:sectPr w:rsidR="005F09C0" w:rsidRPr="005F09C0" w:rsidSect="00E65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6D4BB" w14:textId="77777777" w:rsidR="005304D0" w:rsidRDefault="005304D0">
      <w:r>
        <w:separator/>
      </w:r>
    </w:p>
  </w:endnote>
  <w:endnote w:type="continuationSeparator" w:id="0">
    <w:p w14:paraId="12D2AB1C" w14:textId="77777777" w:rsidR="005304D0" w:rsidRDefault="005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f0"/>
      </w:rPr>
      <w:id w:val="1451902462"/>
      <w:docPartObj>
        <w:docPartGallery w:val="Page Numbers (Bottom of Page)"/>
        <w:docPartUnique/>
      </w:docPartObj>
    </w:sdtPr>
    <w:sdtEndPr>
      <w:rPr>
        <w:rStyle w:val="aff0"/>
      </w:rPr>
    </w:sdtEndPr>
    <w:sdtContent>
      <w:p w14:paraId="74341ED6" w14:textId="434A7AB2" w:rsidR="00475CCA" w:rsidRDefault="00475CCA" w:rsidP="00F728C6">
        <w:pPr>
          <w:pStyle w:val="a8"/>
          <w:framePr w:wrap="none" w:vAnchor="text" w:hAnchor="margin" w:xAlign="center" w:y="1"/>
          <w:rPr>
            <w:rStyle w:val="aff0"/>
          </w:rPr>
        </w:pPr>
        <w:r>
          <w:rPr>
            <w:rStyle w:val="aff0"/>
          </w:rPr>
          <w:fldChar w:fldCharType="begin"/>
        </w:r>
        <w:r>
          <w:rPr>
            <w:rStyle w:val="aff0"/>
          </w:rPr>
          <w:instrText xml:space="preserve"> PAGE </w:instrText>
        </w:r>
        <w:r>
          <w:rPr>
            <w:rStyle w:val="aff0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A40A" w14:textId="77777777" w:rsidR="00BF23DC" w:rsidRDefault="00BF23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E39C" w14:textId="77777777" w:rsidR="00BF23DC" w:rsidRDefault="00BF23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F5D1A" w14:textId="77777777" w:rsidR="005304D0" w:rsidRDefault="005304D0">
      <w:r>
        <w:separator/>
      </w:r>
    </w:p>
  </w:footnote>
  <w:footnote w:type="continuationSeparator" w:id="0">
    <w:p w14:paraId="324D6547" w14:textId="77777777" w:rsidR="005304D0" w:rsidRDefault="0053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9E59A" w14:textId="77777777" w:rsidR="00BF23DC" w:rsidRDefault="00BF23D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AE857" w14:textId="77777777" w:rsidR="00BF23DC" w:rsidRDefault="00BF23D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D8C00" w14:textId="77777777" w:rsidR="00BF23DC" w:rsidRDefault="00BF23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7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  <w:num w:numId="22">
    <w:abstractNumId w:val="12"/>
  </w:num>
  <w:num w:numId="23">
    <w:abstractNumId w:val="13"/>
  </w:num>
  <w:num w:numId="24">
    <w:abstractNumId w:val="18"/>
  </w:num>
  <w:num w:numId="25">
    <w:abstractNumId w:val="28"/>
  </w:num>
  <w:num w:numId="26">
    <w:abstractNumId w:val="24"/>
  </w:num>
  <w:num w:numId="27">
    <w:abstractNumId w:val="23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637E2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96B43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4BB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5774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497D"/>
    <w:rsid w:val="00425CB6"/>
    <w:rsid w:val="00426048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4290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050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569C0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0C2B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5A4A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102EB"/>
    <w:rsid w:val="00B1030F"/>
    <w:rsid w:val="00B139CE"/>
    <w:rsid w:val="00B13ED8"/>
    <w:rsid w:val="00B17B3F"/>
    <w:rsid w:val="00B22768"/>
    <w:rsid w:val="00B22DCF"/>
    <w:rsid w:val="00B230E9"/>
    <w:rsid w:val="00B26A0A"/>
    <w:rsid w:val="00B279D4"/>
    <w:rsid w:val="00B34AAF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26E"/>
    <w:rsid w:val="00C50FFF"/>
    <w:rsid w:val="00C53350"/>
    <w:rsid w:val="00C53D00"/>
    <w:rsid w:val="00C53EE9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29D6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3E24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47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4A23"/>
    <w:rPr>
      <w:sz w:val="24"/>
      <w:szCs w:val="24"/>
      <w:lang w:eastAsia="en-US"/>
    </w:rPr>
  </w:style>
  <w:style w:type="paragraph" w:styleId="1">
    <w:name w:val="heading 1"/>
    <w:basedOn w:val="AWI-Standard"/>
    <w:next w:val="a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3">
    <w:name w:val="heading 3"/>
    <w:basedOn w:val="a"/>
    <w:next w:val="a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5">
    <w:name w:val="heading 5"/>
    <w:basedOn w:val="a"/>
    <w:next w:val="a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6">
    <w:name w:val="heading 6"/>
    <w:basedOn w:val="a"/>
    <w:next w:val="a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7">
    <w:name w:val="heading 7"/>
    <w:basedOn w:val="a"/>
    <w:next w:val="a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8">
    <w:name w:val="heading 8"/>
    <w:basedOn w:val="a"/>
    <w:next w:val="a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9">
    <w:name w:val="heading 9"/>
    <w:basedOn w:val="a"/>
    <w:next w:val="a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a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a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a4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lang w:eastAsia="en-US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6F4B"/>
    <w:rPr>
      <w:sz w:val="24"/>
      <w:szCs w:val="24"/>
      <w:lang w:eastAsia="en-US"/>
    </w:rPr>
  </w:style>
  <w:style w:type="character" w:styleId="aa">
    <w:name w:val="FollowedHyperlink"/>
    <w:basedOn w:val="a0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1873"/>
    <w:rPr>
      <w:sz w:val="24"/>
      <w:szCs w:val="24"/>
      <w:lang w:eastAsia="en-US"/>
    </w:rPr>
  </w:style>
  <w:style w:type="paragraph" w:styleId="ad">
    <w:name w:val="No Spacing"/>
    <w:uiPriority w:val="1"/>
    <w:rsid w:val="00864200"/>
    <w:rPr>
      <w:sz w:val="24"/>
      <w:szCs w:val="24"/>
      <w:lang w:eastAsia="en-US"/>
    </w:rPr>
  </w:style>
  <w:style w:type="paragraph" w:styleId="ae">
    <w:name w:val="Title"/>
    <w:basedOn w:val="a"/>
    <w:next w:val="a"/>
    <w:link w:val="af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0">
    <w:name w:val="Subtitle"/>
    <w:basedOn w:val="a"/>
    <w:next w:val="a"/>
    <w:link w:val="af1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f2">
    <w:name w:val="Subtle Emphasis"/>
    <w:basedOn w:val="a0"/>
    <w:uiPriority w:val="19"/>
    <w:rsid w:val="00864200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864200"/>
    <w:rPr>
      <w:i/>
      <w:iCs/>
    </w:rPr>
  </w:style>
  <w:style w:type="character" w:styleId="af4">
    <w:name w:val="Intense Emphasis"/>
    <w:basedOn w:val="a0"/>
    <w:uiPriority w:val="21"/>
    <w:rsid w:val="00864200"/>
    <w:rPr>
      <w:i/>
      <w:iCs/>
      <w:color w:val="4472C4" w:themeColor="accent1"/>
    </w:rPr>
  </w:style>
  <w:style w:type="character" w:styleId="af5">
    <w:name w:val="Strong"/>
    <w:basedOn w:val="a0"/>
    <w:uiPriority w:val="22"/>
    <w:rsid w:val="00864200"/>
    <w:rPr>
      <w:b/>
      <w:bCs/>
    </w:rPr>
  </w:style>
  <w:style w:type="paragraph" w:styleId="20">
    <w:name w:val="Quote"/>
    <w:basedOn w:val="a"/>
    <w:next w:val="a"/>
    <w:link w:val="21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af6">
    <w:name w:val="Intense Quote"/>
    <w:basedOn w:val="a"/>
    <w:next w:val="a"/>
    <w:link w:val="af7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af8">
    <w:name w:val="Subtle Reference"/>
    <w:basedOn w:val="a0"/>
    <w:uiPriority w:val="31"/>
    <w:rsid w:val="00F87C7E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rsid w:val="00F87C7E"/>
    <w:rPr>
      <w:b/>
      <w:bCs/>
      <w:smallCaps/>
      <w:color w:val="4472C4" w:themeColor="accent1"/>
      <w:spacing w:val="5"/>
    </w:rPr>
  </w:style>
  <w:style w:type="character" w:styleId="afa">
    <w:name w:val="Book Title"/>
    <w:basedOn w:val="a0"/>
    <w:uiPriority w:val="33"/>
    <w:rsid w:val="00F87C7E"/>
    <w:rPr>
      <w:b/>
      <w:bCs/>
      <w:i/>
      <w:iCs/>
      <w:spacing w:val="5"/>
    </w:rPr>
  </w:style>
  <w:style w:type="paragraph" w:styleId="afb">
    <w:name w:val="List Paragraph"/>
    <w:basedOn w:val="a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a0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afc">
    <w:name w:val="Table Grid"/>
    <w:basedOn w:val="a1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afd">
    <w:name w:val="Normal (Web)"/>
    <w:basedOn w:val="a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afe">
    <w:name w:val="Balloon Text"/>
    <w:basedOn w:val="a"/>
    <w:link w:val="aff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a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aff0">
    <w:name w:val="page number"/>
    <w:basedOn w:val="a0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aff1">
    <w:name w:val="annotation subject"/>
    <w:basedOn w:val="a5"/>
    <w:next w:val="a5"/>
    <w:link w:val="aff2"/>
    <w:uiPriority w:val="99"/>
    <w:semiHidden/>
    <w:unhideWhenUsed/>
    <w:rsid w:val="00DA396B"/>
    <w:rPr>
      <w:b/>
      <w:bCs/>
    </w:rPr>
  </w:style>
  <w:style w:type="character" w:customStyle="1" w:styleId="aff2">
    <w:name w:val="Тема примечания Знак"/>
    <w:basedOn w:val="a6"/>
    <w:link w:val="aff1"/>
    <w:uiPriority w:val="99"/>
    <w:semiHidden/>
    <w:rsid w:val="00DA396B"/>
    <w:rPr>
      <w:b/>
      <w:bCs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11">
    <w:name w:val="toc 1"/>
    <w:basedOn w:val="a"/>
    <w:next w:val="a"/>
    <w:autoRedefine/>
    <w:uiPriority w:val="39"/>
    <w:unhideWhenUsed/>
    <w:rsid w:val="00F642A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F642A1"/>
    <w:pPr>
      <w:spacing w:after="100"/>
      <w:ind w:left="240"/>
    </w:pPr>
  </w:style>
  <w:style w:type="character" w:customStyle="1" w:styleId="h9rpj5gkjhrwbrml3kdi">
    <w:name w:val="h9rpj5gkjhrwbrml3kdi"/>
    <w:basedOn w:val="a0"/>
    <w:rsid w:val="005D6050"/>
  </w:style>
  <w:style w:type="character" w:customStyle="1" w:styleId="g9ddarlprace29mmtwab">
    <w:name w:val="g9ddarlprace29mmtwab"/>
    <w:basedOn w:val="a0"/>
    <w:rsid w:val="005D6050"/>
  </w:style>
  <w:style w:type="character" w:customStyle="1" w:styleId="anegp0gi0b9av8jahpyh">
    <w:name w:val="anegp0gi0b9av8jahpyh"/>
    <w:basedOn w:val="a0"/>
    <w:rsid w:val="00426048"/>
  </w:style>
  <w:style w:type="character" w:customStyle="1" w:styleId="al-author-delim">
    <w:name w:val="al-author-delim"/>
    <w:basedOn w:val="a0"/>
    <w:rsid w:val="00C5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lalay@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130/G50009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0758/0555-2648-2024-70-4-514-5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52F6CA-F57B-4840-B11E-6B23C0AA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4597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Pavel Talalay</cp:lastModifiedBy>
  <cp:revision>9</cp:revision>
  <cp:lastPrinted>1899-12-31T22:59:00Z</cp:lastPrinted>
  <dcterms:created xsi:type="dcterms:W3CDTF">2025-05-30T03:04:00Z</dcterms:created>
  <dcterms:modified xsi:type="dcterms:W3CDTF">2025-06-09T05:17:00Z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